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F3C819">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right="0"/>
        <w:jc w:val="center"/>
        <w:textAlignment w:val="auto"/>
        <w:outlineLvl w:val="9"/>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202</w:t>
      </w:r>
      <w:r>
        <w:rPr>
          <w:rFonts w:hint="eastAsia" w:ascii="方正小标宋简体" w:hAnsi="方正小标宋简体" w:eastAsia="方正小标宋简体" w:cs="方正小标宋简体"/>
          <w:color w:val="auto"/>
          <w:sz w:val="44"/>
          <w:szCs w:val="44"/>
          <w:lang w:val="en-US" w:eastAsia="zh-CN"/>
        </w:rPr>
        <w:t>5</w:t>
      </w:r>
      <w:r>
        <w:rPr>
          <w:rFonts w:hint="eastAsia" w:ascii="方正小标宋简体" w:hAnsi="方正小标宋简体" w:eastAsia="方正小标宋简体" w:cs="方正小标宋简体"/>
          <w:color w:val="auto"/>
          <w:sz w:val="44"/>
          <w:szCs w:val="44"/>
        </w:rPr>
        <w:t>年度</w:t>
      </w:r>
      <w:r>
        <w:rPr>
          <w:rFonts w:hint="eastAsia" w:ascii="方正小标宋简体" w:hAnsi="方正小标宋简体" w:eastAsia="方正小标宋简体" w:cs="方正小标宋简体"/>
          <w:color w:val="auto"/>
          <w:sz w:val="44"/>
          <w:szCs w:val="44"/>
          <w:lang w:eastAsia="zh-CN"/>
        </w:rPr>
        <w:t>全国教育科学规划中国教育法治与全球教育治理研究</w:t>
      </w:r>
      <w:bookmarkStart w:id="0" w:name="_GoBack"/>
      <w:bookmarkEnd w:id="0"/>
      <w:r>
        <w:rPr>
          <w:rFonts w:hint="eastAsia" w:ascii="方正小标宋简体" w:hAnsi="方正小标宋简体" w:eastAsia="方正小标宋简体" w:cs="方正小标宋简体"/>
          <w:color w:val="auto"/>
          <w:sz w:val="44"/>
          <w:szCs w:val="44"/>
          <w:lang w:eastAsia="zh-CN"/>
        </w:rPr>
        <w:t>专项</w:t>
      </w:r>
      <w:r>
        <w:rPr>
          <w:rFonts w:hint="eastAsia" w:ascii="方正小标宋简体" w:hAnsi="方正小标宋简体" w:eastAsia="方正小标宋简体" w:cs="方正小标宋简体"/>
          <w:color w:val="auto"/>
          <w:sz w:val="44"/>
          <w:szCs w:val="44"/>
        </w:rPr>
        <w:t>申报公告</w:t>
      </w:r>
    </w:p>
    <w:p w14:paraId="13424303">
      <w:pPr>
        <w:pStyle w:val="6"/>
        <w:keepNext w:val="0"/>
        <w:keepLines w:val="0"/>
        <w:pageBreakBefore w:val="0"/>
        <w:widowControl/>
        <w:suppressLineNumbers w:val="0"/>
        <w:kinsoku/>
        <w:wordWrap w:val="0"/>
        <w:overflowPunct/>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eastAsia"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为做好全国教育科学规划中国教育法治与全球教育治理研究专项</w:t>
      </w:r>
      <w:r>
        <w:rPr>
          <w:rFonts w:hint="eastAsia" w:ascii="仿宋_GB2312" w:hAnsi="仿宋_GB2312" w:eastAsia="仿宋_GB2312" w:cs="仿宋_GB2312"/>
          <w:sz w:val="32"/>
          <w:szCs w:val="32"/>
        </w:rPr>
        <w:t>（以下简称</w:t>
      </w:r>
      <w:r>
        <w:rPr>
          <w:rFonts w:hint="eastAsia" w:ascii="仿宋_GB2312" w:hAnsi="仿宋_GB2312" w:eastAsia="仿宋_GB2312" w:cs="仿宋_GB2312"/>
          <w:sz w:val="32"/>
          <w:szCs w:val="32"/>
          <w:lang w:eastAsia="zh-CN"/>
        </w:rPr>
        <w:t>教育法治</w:t>
      </w:r>
      <w:r>
        <w:rPr>
          <w:rFonts w:hint="eastAsia" w:ascii="仿宋_GB2312" w:hAnsi="仿宋_GB2312" w:eastAsia="仿宋_GB2312" w:cs="仿宋_GB2312"/>
          <w:sz w:val="32"/>
          <w:szCs w:val="32"/>
        </w:rPr>
        <w:t>专项）</w:t>
      </w:r>
      <w:r>
        <w:rPr>
          <w:rFonts w:hint="eastAsia" w:ascii="仿宋_GB2312" w:hAnsi="Times New Roman" w:eastAsia="仿宋_GB2312" w:cs="Times New Roman"/>
          <w:color w:val="auto"/>
          <w:kern w:val="2"/>
          <w:sz w:val="32"/>
          <w:szCs w:val="32"/>
          <w:lang w:val="en-US" w:eastAsia="zh-CN" w:bidi="ar-SA"/>
        </w:rPr>
        <w:t>申报工作，现就有关事项公告如下。</w:t>
      </w:r>
    </w:p>
    <w:p w14:paraId="3D953A59">
      <w:pPr>
        <w:pStyle w:val="6"/>
        <w:keepNext w:val="0"/>
        <w:keepLines w:val="0"/>
        <w:pageBreakBefore w:val="0"/>
        <w:widowControl/>
        <w:suppressLineNumbers w:val="0"/>
        <w:kinsoku/>
        <w:wordWrap w:val="0"/>
        <w:overflowPunct/>
        <w:autoSpaceDE/>
        <w:autoSpaceDN/>
        <w:bidi w:val="0"/>
        <w:adjustRightInd/>
        <w:snapToGrid/>
        <w:spacing w:before="0" w:beforeAutospacing="0" w:after="0" w:afterAutospacing="0" w:line="560" w:lineRule="exact"/>
        <w:ind w:right="0" w:firstLine="643" w:firstLineChars="200"/>
        <w:jc w:val="both"/>
        <w:textAlignment w:val="auto"/>
        <w:outlineLvl w:val="9"/>
        <w:rPr>
          <w:rStyle w:val="9"/>
          <w:rFonts w:hint="eastAsia" w:ascii="黑体" w:hAnsi="黑体" w:eastAsia="黑体" w:cs="黑体"/>
          <w:color w:val="auto"/>
          <w:sz w:val="32"/>
          <w:szCs w:val="32"/>
          <w:lang w:eastAsia="zh-CN"/>
        </w:rPr>
      </w:pPr>
      <w:r>
        <w:rPr>
          <w:rStyle w:val="9"/>
          <w:rFonts w:hint="eastAsia" w:ascii="黑体" w:hAnsi="黑体" w:eastAsia="黑体" w:cs="黑体"/>
          <w:color w:val="auto"/>
          <w:sz w:val="32"/>
          <w:szCs w:val="32"/>
        </w:rPr>
        <w:t>一、</w:t>
      </w:r>
      <w:r>
        <w:rPr>
          <w:rStyle w:val="9"/>
          <w:rFonts w:hint="eastAsia" w:ascii="黑体" w:hAnsi="黑体" w:eastAsia="黑体" w:cs="黑体"/>
          <w:color w:val="auto"/>
          <w:sz w:val="32"/>
          <w:szCs w:val="32"/>
          <w:lang w:eastAsia="zh-CN"/>
        </w:rPr>
        <w:t>专项目的</w:t>
      </w:r>
    </w:p>
    <w:p w14:paraId="23B52B3F">
      <w:pPr>
        <w:pStyle w:val="6"/>
        <w:keepNext w:val="0"/>
        <w:keepLines w:val="0"/>
        <w:pageBreakBefore w:val="0"/>
        <w:widowControl/>
        <w:suppressLineNumbers w:val="0"/>
        <w:kinsoku/>
        <w:wordWrap w:val="0"/>
        <w:overflowPunct/>
        <w:topLinePunct/>
        <w:autoSpaceDE/>
        <w:autoSpaceDN/>
        <w:bidi w:val="0"/>
        <w:adjustRightInd/>
        <w:snapToGrid/>
        <w:spacing w:before="0" w:beforeAutospacing="0" w:after="0" w:afterAutospacing="0" w:line="560" w:lineRule="exact"/>
        <w:ind w:right="0" w:firstLine="640" w:firstLineChars="200"/>
        <w:jc w:val="both"/>
        <w:textAlignment w:val="auto"/>
        <w:outlineLvl w:val="9"/>
        <w:rPr>
          <w:rFonts w:hint="eastAsia" w:ascii="仿宋_GB2312" w:hAnsi="Times New Roman" w:eastAsia="仿宋_GB2312" w:cs="Times New Roman"/>
          <w:color w:val="0000FF"/>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教育法治专项面向教育法治建设和教育“引进来”“走出去”的发展需要，重点资助中国教育法治与全球教育治理领域关系教育发展全局的重要理论和现实问题研究，为夯实教育强国建设法治基础，服务教育高水平对外开放提供决策支撑</w:t>
      </w:r>
      <w:r>
        <w:rPr>
          <w:rFonts w:hint="eastAsia" w:ascii="仿宋_GB2312" w:hAnsi="Times New Roman" w:eastAsia="仿宋_GB2312" w:cs="Times New Roman"/>
          <w:color w:val="0000FF"/>
          <w:kern w:val="2"/>
          <w:sz w:val="32"/>
          <w:szCs w:val="32"/>
          <w:lang w:val="en-US" w:eastAsia="zh-CN" w:bidi="ar-SA"/>
        </w:rPr>
        <w:t>。</w:t>
      </w:r>
    </w:p>
    <w:p w14:paraId="06B7F013">
      <w:pPr>
        <w:pStyle w:val="6"/>
        <w:keepNext w:val="0"/>
        <w:keepLines w:val="0"/>
        <w:pageBreakBefore w:val="0"/>
        <w:widowControl/>
        <w:suppressLineNumbers w:val="0"/>
        <w:kinsoku/>
        <w:wordWrap w:val="0"/>
        <w:overflowPunct/>
        <w:autoSpaceDE/>
        <w:autoSpaceDN/>
        <w:bidi w:val="0"/>
        <w:adjustRightInd/>
        <w:snapToGrid/>
        <w:spacing w:before="0" w:beforeAutospacing="0" w:after="0" w:afterAutospacing="0" w:line="560" w:lineRule="exact"/>
        <w:ind w:right="0" w:firstLine="643" w:firstLineChars="200"/>
        <w:jc w:val="both"/>
        <w:textAlignment w:val="auto"/>
        <w:outlineLvl w:val="9"/>
        <w:rPr>
          <w:rStyle w:val="9"/>
          <w:rFonts w:hint="eastAsia" w:ascii="黑体" w:hAnsi="黑体" w:eastAsia="黑体" w:cs="黑体"/>
          <w:color w:val="auto"/>
          <w:sz w:val="32"/>
          <w:szCs w:val="32"/>
          <w:lang w:eastAsia="zh-CN"/>
        </w:rPr>
      </w:pPr>
      <w:r>
        <w:rPr>
          <w:rStyle w:val="9"/>
          <w:rFonts w:hint="eastAsia" w:ascii="黑体" w:hAnsi="黑体" w:eastAsia="黑体" w:cs="黑体"/>
          <w:color w:val="auto"/>
          <w:sz w:val="32"/>
          <w:szCs w:val="32"/>
          <w:lang w:eastAsia="zh-CN"/>
        </w:rPr>
        <w:t>二</w:t>
      </w:r>
      <w:r>
        <w:rPr>
          <w:rStyle w:val="9"/>
          <w:rFonts w:hint="eastAsia" w:ascii="黑体" w:hAnsi="黑体" w:eastAsia="黑体" w:cs="黑体"/>
          <w:color w:val="auto"/>
          <w:sz w:val="32"/>
          <w:szCs w:val="32"/>
        </w:rPr>
        <w:t>、</w:t>
      </w:r>
      <w:r>
        <w:rPr>
          <w:rStyle w:val="9"/>
          <w:rFonts w:hint="eastAsia" w:ascii="黑体" w:hAnsi="黑体" w:eastAsia="黑体" w:cs="黑体"/>
          <w:color w:val="auto"/>
          <w:sz w:val="32"/>
          <w:szCs w:val="32"/>
          <w:lang w:eastAsia="zh-CN"/>
        </w:rPr>
        <w:t>选题指南</w:t>
      </w:r>
    </w:p>
    <w:p w14:paraId="2D4140B5">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autoSpaceDE/>
        <w:autoSpaceDN/>
        <w:bidi w:val="0"/>
        <w:adjustRightInd/>
        <w:snapToGrid/>
        <w:spacing w:before="0" w:beforeAutospacing="0" w:after="0" w:afterAutospacing="0" w:line="560" w:lineRule="exact"/>
        <w:ind w:right="0" w:rightChars="0" w:firstLine="640" w:firstLineChars="200"/>
        <w:jc w:val="both"/>
        <w:textAlignment w:val="auto"/>
        <w:outlineLvl w:val="9"/>
        <w:rPr>
          <w:rFonts w:hint="eastAsia"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olor w:val="auto"/>
          <w:sz w:val="32"/>
          <w:szCs w:val="32"/>
          <w:lang w:eastAsia="zh-CN"/>
        </w:rPr>
        <w:t>申报重点项目、一般项目必须从相应条目中选择，自拟选题不</w:t>
      </w:r>
      <w:r>
        <w:rPr>
          <w:rFonts w:hint="eastAsia" w:ascii="仿宋_GB2312" w:hAnsi="Times New Roman" w:eastAsia="仿宋_GB2312"/>
          <w:color w:val="auto"/>
          <w:sz w:val="32"/>
          <w:szCs w:val="32"/>
          <w:lang w:val="en-US" w:eastAsia="zh-CN"/>
        </w:rPr>
        <w:t>予</w:t>
      </w:r>
      <w:r>
        <w:rPr>
          <w:rFonts w:hint="eastAsia" w:ascii="仿宋_GB2312" w:hAnsi="Times New Roman" w:eastAsia="仿宋_GB2312"/>
          <w:color w:val="auto"/>
          <w:sz w:val="32"/>
          <w:szCs w:val="32"/>
          <w:lang w:eastAsia="zh-CN"/>
        </w:rPr>
        <w:t>受理。培育项目如确有需要，可对选题进行适当微调，但不得大幅压缩或改变研究内容，</w:t>
      </w:r>
      <w:r>
        <w:rPr>
          <w:rFonts w:hint="eastAsia" w:ascii="仿宋_GB2312" w:hAnsi="Times New Roman" w:eastAsia="仿宋_GB2312"/>
          <w:color w:val="auto"/>
          <w:sz w:val="32"/>
          <w:szCs w:val="32"/>
          <w:lang w:val="en-US" w:eastAsia="zh-CN"/>
        </w:rPr>
        <w:t>必须与专项研究领域密切相关</w:t>
      </w:r>
      <w:r>
        <w:rPr>
          <w:rFonts w:hint="eastAsia" w:ascii="仿宋_GB2312" w:hAnsi="Times New Roman" w:eastAsia="仿宋_GB2312"/>
          <w:color w:val="auto"/>
          <w:sz w:val="32"/>
          <w:szCs w:val="32"/>
          <w:lang w:eastAsia="zh-CN"/>
        </w:rPr>
        <w:t>。每个选题原则上只确立1个立项项目。</w:t>
      </w:r>
      <w:r>
        <w:rPr>
          <w:rFonts w:hint="eastAsia" w:ascii="仿宋_GB2312" w:hAnsi="Times New Roman" w:eastAsia="仿宋_GB2312" w:cs="Times New Roman"/>
          <w:color w:val="auto"/>
          <w:kern w:val="2"/>
          <w:sz w:val="32"/>
          <w:szCs w:val="32"/>
          <w:lang w:val="en-US" w:eastAsia="zh-CN" w:bidi="ar-SA"/>
        </w:rPr>
        <w:t>项目名称表述要科学严谨、简明规范，避免引起歧义或争议。</w:t>
      </w:r>
    </w:p>
    <w:p w14:paraId="07FC01B9">
      <w:pPr>
        <w:pStyle w:val="6"/>
        <w:keepNext w:val="0"/>
        <w:keepLines w:val="0"/>
        <w:pageBreakBefore w:val="0"/>
        <w:widowControl/>
        <w:suppressLineNumbers w:val="0"/>
        <w:kinsoku/>
        <w:wordWrap w:val="0"/>
        <w:overflowPunct/>
        <w:topLinePunct/>
        <w:autoSpaceDE/>
        <w:autoSpaceDN/>
        <w:bidi w:val="0"/>
        <w:adjustRightInd/>
        <w:snapToGrid/>
        <w:spacing w:before="0" w:beforeAutospacing="0" w:after="0" w:afterAutospacing="0" w:line="560" w:lineRule="exact"/>
        <w:ind w:right="0" w:firstLine="643" w:firstLineChars="200"/>
        <w:jc w:val="both"/>
        <w:textAlignment w:val="auto"/>
        <w:outlineLvl w:val="9"/>
        <w:rPr>
          <w:rStyle w:val="9"/>
          <w:rFonts w:hint="eastAsia" w:ascii="黑体" w:hAnsi="黑体" w:eastAsia="黑体" w:cs="黑体"/>
          <w:color w:val="auto"/>
          <w:sz w:val="32"/>
          <w:szCs w:val="32"/>
        </w:rPr>
      </w:pPr>
      <w:r>
        <w:rPr>
          <w:rStyle w:val="9"/>
          <w:rFonts w:hint="eastAsia" w:ascii="黑体" w:hAnsi="黑体" w:eastAsia="黑体" w:cs="黑体"/>
          <w:color w:val="auto"/>
          <w:sz w:val="32"/>
          <w:szCs w:val="32"/>
          <w:lang w:eastAsia="zh-CN"/>
        </w:rPr>
        <w:t>三</w:t>
      </w:r>
      <w:r>
        <w:rPr>
          <w:rStyle w:val="9"/>
          <w:rFonts w:hint="eastAsia" w:ascii="黑体" w:hAnsi="黑体" w:eastAsia="黑体" w:cs="黑体"/>
          <w:color w:val="auto"/>
          <w:sz w:val="32"/>
          <w:szCs w:val="32"/>
        </w:rPr>
        <w:t>、资助额度</w:t>
      </w:r>
    </w:p>
    <w:p w14:paraId="76D8C6EC">
      <w:pPr>
        <w:pStyle w:val="6"/>
        <w:keepNext w:val="0"/>
        <w:keepLines w:val="0"/>
        <w:pageBreakBefore w:val="0"/>
        <w:widowControl/>
        <w:suppressLineNumbers w:val="0"/>
        <w:kinsoku/>
        <w:wordWrap w:val="0"/>
        <w:overflowPunct/>
        <w:topLinePunct/>
        <w:autoSpaceDE/>
        <w:autoSpaceDN/>
        <w:bidi w:val="0"/>
        <w:adjustRightInd/>
        <w:snapToGrid/>
        <w:spacing w:before="0" w:beforeAutospacing="0" w:after="0" w:afterAutospacing="0" w:line="560" w:lineRule="exact"/>
        <w:ind w:right="0" w:firstLine="640" w:firstLineChars="200"/>
        <w:jc w:val="both"/>
        <w:textAlignment w:val="auto"/>
        <w:outlineLvl w:val="9"/>
        <w:rPr>
          <w:rFonts w:hint="eastAsia"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专项</w:t>
      </w:r>
      <w:r>
        <w:rPr>
          <w:rFonts w:hint="eastAsia" w:ascii="仿宋" w:hAnsi="仿宋" w:eastAsia="仿宋" w:cs="仿宋"/>
          <w:color w:val="auto"/>
          <w:sz w:val="32"/>
          <w:szCs w:val="32"/>
          <w:shd w:val="clear" w:color="auto" w:fill="FFFFFF"/>
          <w:lang w:eastAsia="zh-CN"/>
        </w:rPr>
        <w:t>项目类别和</w:t>
      </w:r>
      <w:r>
        <w:rPr>
          <w:rFonts w:hint="eastAsia" w:ascii="仿宋_GB2312" w:hAnsi="Times New Roman" w:eastAsia="仿宋_GB2312" w:cs="Times New Roman"/>
          <w:color w:val="auto"/>
          <w:kern w:val="2"/>
          <w:sz w:val="32"/>
          <w:szCs w:val="32"/>
          <w:lang w:val="en-US" w:eastAsia="zh-CN" w:bidi="ar-SA"/>
        </w:rPr>
        <w:t>资助额度</w:t>
      </w:r>
      <w:r>
        <w:rPr>
          <w:rFonts w:hint="eastAsia" w:ascii="仿宋" w:hAnsi="仿宋" w:eastAsia="仿宋" w:cs="仿宋"/>
          <w:color w:val="auto"/>
          <w:sz w:val="32"/>
          <w:szCs w:val="32"/>
          <w:shd w:val="clear" w:color="auto" w:fill="FFFFFF"/>
          <w:lang w:eastAsia="zh-CN"/>
        </w:rPr>
        <w:t>分别为：重点项目，每项资助额度为35万元；一般项目，每项资助额度为20万元；培育项目，每项资助额度为10万元。</w:t>
      </w:r>
      <w:r>
        <w:rPr>
          <w:rFonts w:hint="eastAsia" w:ascii="仿宋_GB2312" w:hAnsi="Times New Roman" w:eastAsia="仿宋_GB2312" w:cs="Times New Roman"/>
          <w:color w:val="auto"/>
          <w:kern w:val="2"/>
          <w:sz w:val="32"/>
          <w:szCs w:val="32"/>
          <w:lang w:val="en-US" w:eastAsia="zh-CN" w:bidi="ar-SA"/>
        </w:rPr>
        <w:t>申请人应按照《全国教育科学规划课题管理办法》和《全国教育科学规划课题资金管理办法》（详见网站https://onsgep.moe.edu.cn/）的要求，根据实际需要编制科学合理的经费预算。</w:t>
      </w:r>
    </w:p>
    <w:p w14:paraId="41737493">
      <w:pPr>
        <w:pStyle w:val="6"/>
        <w:keepNext w:val="0"/>
        <w:keepLines w:val="0"/>
        <w:pageBreakBefore w:val="0"/>
        <w:widowControl/>
        <w:suppressLineNumbers w:val="0"/>
        <w:kinsoku/>
        <w:wordWrap w:val="0"/>
        <w:overflowPunct/>
        <w:autoSpaceDE/>
        <w:autoSpaceDN/>
        <w:bidi w:val="0"/>
        <w:adjustRightInd/>
        <w:snapToGrid/>
        <w:spacing w:before="0" w:beforeAutospacing="0" w:after="0" w:afterAutospacing="0" w:line="560" w:lineRule="exact"/>
        <w:ind w:right="0" w:firstLine="643" w:firstLineChars="200"/>
        <w:jc w:val="both"/>
        <w:textAlignment w:val="auto"/>
        <w:outlineLvl w:val="9"/>
        <w:rPr>
          <w:rStyle w:val="9"/>
          <w:rFonts w:hint="eastAsia" w:ascii="黑体" w:hAnsi="黑体" w:eastAsia="黑体" w:cs="黑体"/>
          <w:color w:val="auto"/>
          <w:sz w:val="32"/>
          <w:szCs w:val="32"/>
        </w:rPr>
      </w:pPr>
      <w:r>
        <w:rPr>
          <w:rStyle w:val="9"/>
          <w:rFonts w:hint="eastAsia" w:ascii="黑体" w:hAnsi="黑体" w:eastAsia="黑体" w:cs="黑体"/>
          <w:color w:val="auto"/>
          <w:sz w:val="32"/>
          <w:szCs w:val="32"/>
          <w:lang w:eastAsia="zh-CN"/>
        </w:rPr>
        <w:t>四</w:t>
      </w:r>
      <w:r>
        <w:rPr>
          <w:rStyle w:val="9"/>
          <w:rFonts w:hint="eastAsia" w:ascii="黑体" w:hAnsi="黑体" w:eastAsia="黑体" w:cs="黑体"/>
          <w:color w:val="auto"/>
          <w:sz w:val="32"/>
          <w:szCs w:val="32"/>
        </w:rPr>
        <w:t>、申报条件</w:t>
      </w:r>
    </w:p>
    <w:p w14:paraId="649FBAD7">
      <w:pPr>
        <w:pStyle w:val="6"/>
        <w:keepNext w:val="0"/>
        <w:keepLines w:val="0"/>
        <w:pageBreakBefore w:val="0"/>
        <w:widowControl/>
        <w:suppressLineNumbers w:val="0"/>
        <w:kinsoku/>
        <w:wordWrap w:val="0"/>
        <w:overflowPunct/>
        <w:topLinePunct/>
        <w:autoSpaceDE/>
        <w:autoSpaceDN/>
        <w:bidi w:val="0"/>
        <w:adjustRightInd/>
        <w:snapToGrid/>
        <w:spacing w:before="0" w:beforeAutospacing="0" w:after="0" w:afterAutospacing="0" w:line="560" w:lineRule="exact"/>
        <w:ind w:right="0" w:firstLine="640" w:firstLineChars="200"/>
        <w:jc w:val="both"/>
        <w:textAlignment w:val="auto"/>
        <w:outlineLvl w:val="9"/>
        <w:rPr>
          <w:rFonts w:hint="eastAsia"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项目申请人须具备下列条件</w:t>
      </w:r>
    </w:p>
    <w:p w14:paraId="0F0919B0">
      <w:pPr>
        <w:pStyle w:val="6"/>
        <w:keepNext w:val="0"/>
        <w:keepLines w:val="0"/>
        <w:pageBreakBefore w:val="0"/>
        <w:widowControl/>
        <w:suppressLineNumbers w:val="0"/>
        <w:kinsoku/>
        <w:wordWrap w:val="0"/>
        <w:overflowPunct/>
        <w:topLinePunct/>
        <w:autoSpaceDE/>
        <w:autoSpaceDN/>
        <w:bidi w:val="0"/>
        <w:adjustRightInd/>
        <w:snapToGrid/>
        <w:spacing w:before="0" w:beforeAutospacing="0" w:after="0" w:afterAutospacing="0" w:line="560" w:lineRule="exact"/>
        <w:ind w:right="0" w:firstLine="640" w:firstLineChars="200"/>
        <w:jc w:val="both"/>
        <w:textAlignment w:val="auto"/>
        <w:outlineLvl w:val="9"/>
        <w:rPr>
          <w:rFonts w:hint="eastAsia"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1.申请人须遵守中华人民共和国宪法和法律，坚持正确的政治方向、价值取向和研究导向，遵守全国教育科学规划有关管理规定。</w:t>
      </w:r>
    </w:p>
    <w:p w14:paraId="0F227D42">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autoSpaceDE/>
        <w:autoSpaceDN/>
        <w:bidi w:val="0"/>
        <w:adjustRightInd/>
        <w:snapToGrid/>
        <w:spacing w:before="0" w:beforeAutospacing="0" w:after="0" w:afterAutospacing="0" w:line="560" w:lineRule="exact"/>
        <w:ind w:right="0" w:firstLine="640" w:firstLineChars="200"/>
        <w:jc w:val="both"/>
        <w:textAlignment w:val="auto"/>
        <w:outlineLvl w:val="9"/>
        <w:rPr>
          <w:rFonts w:hint="default" w:ascii="Times New Roman" w:hAnsi="Times New Roman" w:eastAsia="仿宋_GB2312" w:cs="Times New Roman"/>
          <w:color w:val="0000FF"/>
          <w:sz w:val="32"/>
          <w:szCs w:val="32"/>
          <w:lang w:val="en-US" w:eastAsia="zh-CN"/>
        </w:rPr>
      </w:pPr>
      <w:r>
        <w:rPr>
          <w:rFonts w:hint="eastAsia" w:ascii="Times New Roman" w:hAnsi="Times New Roman" w:eastAsia="仿宋_GB2312" w:cs="Times New Roman"/>
          <w:color w:val="auto"/>
          <w:sz w:val="32"/>
          <w:szCs w:val="32"/>
          <w:lang w:val="en-US" w:eastAsia="zh-CN"/>
        </w:rPr>
        <w:t>2.</w:t>
      </w:r>
      <w:r>
        <w:rPr>
          <w:rFonts w:hint="eastAsia" w:ascii="Times New Roman" w:hAnsi="Times New Roman" w:eastAsia="仿宋_GB2312" w:cs="Times New Roman"/>
          <w:color w:val="auto"/>
          <w:sz w:val="32"/>
          <w:szCs w:val="32"/>
        </w:rPr>
        <w:t>申请重点项目须具有副高级以上（含）专业技术职称，或者担任副司（局）级以上（含）领导职务。申请一般项目，需具有上述资格，或具有博士学位，或具有10年以上专业领域实践经验及硕士学位。申请培育项目，需具有上述资格，或具有5年以上专业领域实践经验及硕士学位</w:t>
      </w:r>
      <w:r>
        <w:rPr>
          <w:rFonts w:hint="eastAsia" w:ascii="Times New Roman" w:hAnsi="Times New Roman" w:eastAsia="仿宋_GB2312" w:cs="Times New Roman"/>
          <w:color w:val="auto"/>
          <w:sz w:val="32"/>
          <w:szCs w:val="32"/>
          <w:lang w:eastAsia="zh-CN"/>
        </w:rPr>
        <w:t>。</w:t>
      </w:r>
    </w:p>
    <w:p w14:paraId="427D507A">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autoSpaceDE/>
        <w:autoSpaceDN/>
        <w:bidi w:val="0"/>
        <w:adjustRightInd/>
        <w:snapToGrid/>
        <w:spacing w:before="0" w:beforeAutospacing="0" w:after="0" w:afterAutospacing="0" w:line="560" w:lineRule="exact"/>
        <w:ind w:right="0" w:firstLine="640" w:firstLineChars="200"/>
        <w:jc w:val="both"/>
        <w:textAlignment w:val="auto"/>
        <w:outlineLvl w:val="9"/>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3.在研的国家社会科学基金、国家自然科学基金、全国教育科学规划、教育部人文社会科学研究项目及其他国家级科研项目（以上统称国家和教育部级基金项目）负责人不得申请专项。同年度申请上述国家和教育部级基金项目的负责人不得申请专项。同年度申请全国教育科学规划项目组的成员不得申请专项。</w:t>
      </w:r>
    </w:p>
    <w:p w14:paraId="68F88A49">
      <w:pPr>
        <w:pStyle w:val="6"/>
        <w:keepNext w:val="0"/>
        <w:keepLines w:val="0"/>
        <w:pageBreakBefore w:val="0"/>
        <w:widowControl/>
        <w:suppressLineNumbers w:val="0"/>
        <w:kinsoku/>
        <w:wordWrap w:val="0"/>
        <w:overflowPunct/>
        <w:topLinePunct/>
        <w:autoSpaceDE/>
        <w:autoSpaceDN/>
        <w:bidi w:val="0"/>
        <w:adjustRightInd/>
        <w:snapToGrid/>
        <w:spacing w:before="0" w:beforeAutospacing="0" w:after="0" w:afterAutospacing="0" w:line="560" w:lineRule="exact"/>
        <w:ind w:right="0" w:firstLine="640" w:firstLineChars="200"/>
        <w:jc w:val="both"/>
        <w:textAlignment w:val="auto"/>
        <w:outlineLvl w:val="9"/>
        <w:rPr>
          <w:rFonts w:hint="eastAsia"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4.凡以博士学位论文或博士后出站报告为基础申报本次研究专项，须在《全国教育科学规划项目申请书》（以下简称《申请书》）中，注明所申请项目与学位论文（出站报告）的联系和区别，申请鉴定结项时须提交学位论文（出站报告）原件。不得以已出版的内容基本相同的研究成果申请本次研究专项。</w:t>
      </w:r>
    </w:p>
    <w:p w14:paraId="0DB15862">
      <w:pPr>
        <w:pStyle w:val="6"/>
        <w:keepNext w:val="0"/>
        <w:keepLines w:val="0"/>
        <w:pageBreakBefore w:val="0"/>
        <w:widowControl/>
        <w:suppressLineNumbers w:val="0"/>
        <w:kinsoku/>
        <w:wordWrap w:val="0"/>
        <w:overflowPunct/>
        <w:autoSpaceDE/>
        <w:autoSpaceDN/>
        <w:bidi w:val="0"/>
        <w:adjustRightInd/>
        <w:snapToGrid/>
        <w:spacing w:before="0" w:beforeAutospacing="0" w:after="0" w:afterAutospacing="0" w:line="560" w:lineRule="exact"/>
        <w:ind w:right="0" w:firstLine="643" w:firstLineChars="200"/>
        <w:jc w:val="both"/>
        <w:textAlignment w:val="auto"/>
        <w:outlineLvl w:val="9"/>
        <w:rPr>
          <w:rStyle w:val="9"/>
          <w:rFonts w:hint="eastAsia" w:ascii="黑体" w:hAnsi="黑体" w:eastAsia="黑体" w:cs="黑体"/>
          <w:color w:val="auto"/>
          <w:sz w:val="32"/>
          <w:szCs w:val="32"/>
          <w:lang w:eastAsia="zh-CN"/>
        </w:rPr>
      </w:pPr>
      <w:r>
        <w:rPr>
          <w:rStyle w:val="9"/>
          <w:rFonts w:hint="eastAsia" w:ascii="黑体" w:hAnsi="黑体" w:eastAsia="黑体" w:cs="黑体"/>
          <w:color w:val="auto"/>
          <w:sz w:val="32"/>
          <w:szCs w:val="32"/>
        </w:rPr>
        <w:t>五、</w:t>
      </w:r>
      <w:r>
        <w:rPr>
          <w:rStyle w:val="9"/>
          <w:rFonts w:hint="eastAsia" w:ascii="黑体" w:hAnsi="黑体" w:eastAsia="黑体" w:cs="黑体"/>
          <w:color w:val="auto"/>
          <w:sz w:val="32"/>
          <w:szCs w:val="32"/>
          <w:lang w:eastAsia="zh-CN"/>
        </w:rPr>
        <w:t>申报要求</w:t>
      </w:r>
    </w:p>
    <w:p w14:paraId="306023DD">
      <w:pPr>
        <w:pStyle w:val="6"/>
        <w:keepNext w:val="0"/>
        <w:keepLines w:val="0"/>
        <w:pageBreakBefore w:val="0"/>
        <w:widowControl/>
        <w:suppressLineNumbers w:val="0"/>
        <w:kinsoku/>
        <w:wordWrap w:val="0"/>
        <w:overflowPunct/>
        <w:autoSpaceDE/>
        <w:autoSpaceDN/>
        <w:bidi w:val="0"/>
        <w:adjustRightInd/>
        <w:snapToGrid/>
        <w:spacing w:before="0" w:beforeAutospacing="0" w:after="0" w:afterAutospacing="0" w:line="560" w:lineRule="exact"/>
        <w:ind w:right="0" w:firstLine="640" w:firstLineChars="200"/>
        <w:jc w:val="both"/>
        <w:textAlignment w:val="auto"/>
        <w:outlineLvl w:val="9"/>
        <w:rPr>
          <w:rFonts w:hint="eastAsia"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1.本年度专项申报不限额。各申请人着力提高申报质量，宁缺毋滥。</w:t>
      </w:r>
    </w:p>
    <w:p w14:paraId="2FBB7E2A">
      <w:pPr>
        <w:pStyle w:val="6"/>
        <w:keepNext w:val="0"/>
        <w:keepLines w:val="0"/>
        <w:pageBreakBefore w:val="0"/>
        <w:widowControl/>
        <w:suppressLineNumbers w:val="0"/>
        <w:kinsoku/>
        <w:wordWrap w:val="0"/>
        <w:overflowPunct/>
        <w:autoSpaceDE/>
        <w:autoSpaceDN/>
        <w:bidi w:val="0"/>
        <w:adjustRightInd/>
        <w:snapToGrid/>
        <w:spacing w:before="0" w:beforeAutospacing="0" w:after="0" w:afterAutospacing="0" w:line="560" w:lineRule="exact"/>
        <w:ind w:right="0" w:firstLine="640" w:firstLineChars="200"/>
        <w:jc w:val="both"/>
        <w:textAlignment w:val="auto"/>
        <w:outlineLvl w:val="9"/>
        <w:rPr>
          <w:rFonts w:hint="eastAsia"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2.专项研究年限为2-3年，不得延期。应用研究和综合研究的成果要求提交决策咨询报告，基础理论研究成果要求发表核心期刊论文。培育项目，如果是应用研究或综合研究，要求至少1篇决策咨询报告被《全国教育科学规划课题成果要报》刊发、或被专项合作单位及以上领导肯定性批示、或被专项合作单位及以上党政机关的内刊刊发。如果是基础理论研究，要求至少发表1篇核心期刊（或SCI、SSCI、CSSCI、A&amp;HCI）论文。一般、重点项目的成果要求须高于培育项目，成果形式、数量和级别与资助金额和研究年限相匹配。</w:t>
      </w:r>
    </w:p>
    <w:p w14:paraId="2720853C">
      <w:pPr>
        <w:pStyle w:val="6"/>
        <w:keepNext w:val="0"/>
        <w:keepLines w:val="0"/>
        <w:pageBreakBefore w:val="0"/>
        <w:widowControl/>
        <w:suppressLineNumbers w:val="0"/>
        <w:kinsoku/>
        <w:wordWrap w:val="0"/>
        <w:overflowPunct/>
        <w:autoSpaceDE/>
        <w:autoSpaceDN/>
        <w:bidi w:val="0"/>
        <w:adjustRightInd/>
        <w:snapToGrid/>
        <w:spacing w:before="0" w:beforeAutospacing="0" w:after="0" w:afterAutospacing="0" w:line="560" w:lineRule="exact"/>
        <w:ind w:right="0" w:firstLine="640" w:firstLineChars="200"/>
        <w:jc w:val="both"/>
        <w:textAlignment w:val="auto"/>
        <w:outlineLvl w:val="9"/>
        <w:rPr>
          <w:rFonts w:hint="eastAsia"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3.申请人应按照《全国教育科学规划管理办法》和《全国教育科学规划课题资金管理办法》（详见我办网站）的要求，根据实际需要编制科学合理的经费预算。</w:t>
      </w:r>
    </w:p>
    <w:p w14:paraId="5B16040C">
      <w:pPr>
        <w:pStyle w:val="6"/>
        <w:keepNext w:val="0"/>
        <w:keepLines w:val="0"/>
        <w:pageBreakBefore w:val="0"/>
        <w:widowControl/>
        <w:suppressLineNumbers w:val="0"/>
        <w:kinsoku/>
        <w:wordWrap w:val="0"/>
        <w:overflowPunct/>
        <w:autoSpaceDE/>
        <w:autoSpaceDN/>
        <w:bidi w:val="0"/>
        <w:adjustRightInd/>
        <w:snapToGrid/>
        <w:spacing w:before="0" w:beforeAutospacing="0" w:after="0" w:afterAutospacing="0" w:line="560" w:lineRule="exact"/>
        <w:ind w:right="0" w:firstLine="640" w:firstLineChars="200"/>
        <w:jc w:val="both"/>
        <w:textAlignment w:val="auto"/>
        <w:outlineLvl w:val="9"/>
        <w:rPr>
          <w:rFonts w:hint="eastAsia"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4.申报项目须按照《申请书》和《项目论证活页》要求，如实填写材料，保证没有知识产权争议，不得有违背科研诚信要求的行为。凡存在弄虚作假、抄袭剽窃等行为的，一经发现查实，取消五年申报资格。如获立项即予撤项并通报批评，列入不良科研信用记录，并责成所在单位按有关规定处理。</w:t>
      </w:r>
    </w:p>
    <w:p w14:paraId="372F169C">
      <w:pPr>
        <w:pStyle w:val="6"/>
        <w:keepNext w:val="0"/>
        <w:keepLines w:val="0"/>
        <w:pageBreakBefore w:val="0"/>
        <w:widowControl/>
        <w:suppressLineNumbers w:val="0"/>
        <w:kinsoku/>
        <w:wordWrap w:val="0"/>
        <w:overflowPunct/>
        <w:autoSpaceDE/>
        <w:autoSpaceDN/>
        <w:bidi w:val="0"/>
        <w:adjustRightInd/>
        <w:snapToGrid/>
        <w:spacing w:before="0" w:beforeAutospacing="0" w:after="0" w:afterAutospacing="0" w:line="560" w:lineRule="exact"/>
        <w:ind w:right="0" w:firstLine="640" w:firstLineChars="200"/>
        <w:jc w:val="both"/>
        <w:textAlignment w:val="auto"/>
        <w:outlineLvl w:val="9"/>
        <w:rPr>
          <w:rFonts w:hint="eastAsia"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5.项目负责人在项目执行期间要遵守相关承诺，履行约定义务，按期完成研究任务，</w:t>
      </w:r>
      <w:r>
        <w:rPr>
          <w:rFonts w:hint="eastAsia" w:ascii="仿宋_GB2312" w:eastAsia="仿宋_GB2312"/>
          <w:color w:val="auto"/>
          <w:sz w:val="32"/>
          <w:szCs w:val="32"/>
        </w:rPr>
        <w:t>申报时承诺的预期研究成果为项目结</w:t>
      </w:r>
      <w:r>
        <w:rPr>
          <w:rFonts w:hint="eastAsia" w:ascii="仿宋_GB2312" w:eastAsia="仿宋_GB2312"/>
          <w:color w:val="auto"/>
          <w:sz w:val="32"/>
          <w:szCs w:val="32"/>
          <w:lang w:eastAsia="zh-CN"/>
        </w:rPr>
        <w:t>项</w:t>
      </w:r>
      <w:r>
        <w:rPr>
          <w:rFonts w:hint="eastAsia" w:ascii="仿宋_GB2312" w:eastAsia="仿宋_GB2312"/>
          <w:color w:val="auto"/>
          <w:sz w:val="32"/>
          <w:szCs w:val="32"/>
        </w:rPr>
        <w:t>时必须达到的要件，不得擅自变更。</w:t>
      </w:r>
      <w:r>
        <w:rPr>
          <w:rFonts w:hint="eastAsia" w:ascii="仿宋_GB2312" w:hAnsi="Times New Roman" w:eastAsia="仿宋_GB2312" w:cs="Times New Roman"/>
          <w:color w:val="auto"/>
          <w:kern w:val="2"/>
          <w:sz w:val="32"/>
          <w:szCs w:val="32"/>
          <w:lang w:val="en-US" w:eastAsia="zh-CN" w:bidi="ar-SA"/>
        </w:rPr>
        <w:t>获准立项的《申请书》视为具有约束力的资助合同文本。最终成果实行通讯鉴定，鉴定等级予以公布。</w:t>
      </w:r>
    </w:p>
    <w:p w14:paraId="0FF9D971">
      <w:pPr>
        <w:pStyle w:val="6"/>
        <w:keepNext w:val="0"/>
        <w:keepLines w:val="0"/>
        <w:pageBreakBefore w:val="0"/>
        <w:widowControl/>
        <w:suppressLineNumbers w:val="0"/>
        <w:kinsoku/>
        <w:wordWrap w:val="0"/>
        <w:overflowPunct/>
        <w:autoSpaceDE/>
        <w:autoSpaceDN/>
        <w:bidi w:val="0"/>
        <w:adjustRightInd/>
        <w:snapToGrid/>
        <w:spacing w:before="0" w:beforeAutospacing="0" w:after="0" w:afterAutospacing="0" w:line="560" w:lineRule="exact"/>
        <w:ind w:right="0" w:firstLine="643" w:firstLineChars="200"/>
        <w:jc w:val="both"/>
        <w:textAlignment w:val="auto"/>
        <w:outlineLvl w:val="9"/>
        <w:rPr>
          <w:rStyle w:val="9"/>
          <w:rFonts w:hint="eastAsia" w:ascii="黑体" w:hAnsi="黑体" w:eastAsia="黑体" w:cs="黑体"/>
          <w:color w:val="auto"/>
          <w:sz w:val="32"/>
          <w:szCs w:val="32"/>
        </w:rPr>
      </w:pPr>
      <w:r>
        <w:rPr>
          <w:rStyle w:val="9"/>
          <w:rFonts w:hint="eastAsia" w:ascii="黑体" w:hAnsi="黑体" w:eastAsia="黑体" w:cs="黑体"/>
          <w:color w:val="auto"/>
          <w:sz w:val="32"/>
          <w:szCs w:val="32"/>
          <w:lang w:eastAsia="zh-CN"/>
        </w:rPr>
        <w:t>六</w:t>
      </w:r>
      <w:r>
        <w:rPr>
          <w:rStyle w:val="9"/>
          <w:rFonts w:hint="eastAsia" w:ascii="黑体" w:hAnsi="黑体" w:eastAsia="黑体" w:cs="黑体"/>
          <w:color w:val="auto"/>
          <w:sz w:val="32"/>
          <w:szCs w:val="32"/>
        </w:rPr>
        <w:t>、工作安排</w:t>
      </w:r>
    </w:p>
    <w:p w14:paraId="0FC0D824">
      <w:pPr>
        <w:pStyle w:val="6"/>
        <w:keepNext w:val="0"/>
        <w:keepLines w:val="0"/>
        <w:pageBreakBefore w:val="0"/>
        <w:widowControl/>
        <w:suppressLineNumbers w:val="0"/>
        <w:kinsoku/>
        <w:wordWrap w:val="0"/>
        <w:overflowPunct/>
        <w:autoSpaceDE/>
        <w:autoSpaceDN/>
        <w:bidi w:val="0"/>
        <w:adjustRightInd/>
        <w:snapToGrid/>
        <w:spacing w:before="0" w:beforeAutospacing="0" w:after="0" w:afterAutospacing="0" w:line="560" w:lineRule="exact"/>
        <w:ind w:right="0" w:firstLine="643" w:firstLineChars="200"/>
        <w:jc w:val="both"/>
        <w:textAlignment w:val="auto"/>
        <w:outlineLvl w:val="9"/>
        <w:rPr>
          <w:rFonts w:ascii="仿宋_GB2312" w:eastAsia="仿宋_GB2312"/>
          <w:color w:val="auto"/>
          <w:sz w:val="32"/>
          <w:szCs w:val="32"/>
        </w:rPr>
      </w:pPr>
      <w:r>
        <w:rPr>
          <w:rFonts w:hint="eastAsia" w:ascii="仿宋_GB2312" w:eastAsia="仿宋_GB2312" w:cs="宋体"/>
          <w:b/>
          <w:bCs/>
          <w:color w:val="auto"/>
          <w:sz w:val="32"/>
          <w:szCs w:val="32"/>
          <w:lang w:eastAsia="zh-CN"/>
        </w:rPr>
        <w:t>本次专项</w:t>
      </w:r>
      <w:r>
        <w:rPr>
          <w:rFonts w:hint="eastAsia" w:ascii="仿宋_GB2312" w:eastAsia="仿宋_GB2312" w:cs="宋体"/>
          <w:b/>
          <w:bCs/>
          <w:color w:val="auto"/>
          <w:sz w:val="32"/>
          <w:szCs w:val="32"/>
        </w:rPr>
        <w:t>实行</w:t>
      </w:r>
      <w:r>
        <w:rPr>
          <w:rFonts w:ascii="仿宋_GB2312" w:eastAsia="仿宋_GB2312" w:cs="宋体"/>
          <w:b/>
          <w:bCs/>
          <w:color w:val="auto"/>
          <w:sz w:val="32"/>
          <w:szCs w:val="32"/>
        </w:rPr>
        <w:t>网络申报。</w:t>
      </w:r>
      <w:r>
        <w:rPr>
          <w:rFonts w:hint="eastAsia" w:ascii="仿宋_GB2312" w:eastAsia="仿宋_GB2312" w:cs="宋体"/>
          <w:b/>
          <w:bCs/>
          <w:color w:val="auto"/>
          <w:sz w:val="32"/>
          <w:szCs w:val="32"/>
        </w:rPr>
        <w:t>“全国</w:t>
      </w:r>
      <w:r>
        <w:rPr>
          <w:rFonts w:ascii="仿宋_GB2312" w:eastAsia="仿宋_GB2312" w:cs="宋体"/>
          <w:b/>
          <w:bCs/>
          <w:color w:val="auto"/>
          <w:sz w:val="32"/>
          <w:szCs w:val="32"/>
        </w:rPr>
        <w:t>教育</w:t>
      </w:r>
      <w:r>
        <w:rPr>
          <w:rFonts w:hint="eastAsia" w:ascii="仿宋_GB2312" w:eastAsia="仿宋_GB2312" w:cs="宋体"/>
          <w:b/>
          <w:bCs/>
          <w:color w:val="auto"/>
          <w:sz w:val="32"/>
          <w:szCs w:val="32"/>
        </w:rPr>
        <w:t>科学</w:t>
      </w:r>
      <w:r>
        <w:rPr>
          <w:rFonts w:ascii="仿宋_GB2312" w:eastAsia="仿宋_GB2312" w:cs="宋体"/>
          <w:b/>
          <w:bCs/>
          <w:color w:val="auto"/>
          <w:sz w:val="32"/>
          <w:szCs w:val="32"/>
        </w:rPr>
        <w:t>规划管理平台</w:t>
      </w:r>
      <w:r>
        <w:rPr>
          <w:rFonts w:hint="eastAsia" w:ascii="仿宋_GB2312" w:eastAsia="仿宋_GB2312" w:cs="宋体"/>
          <w:b/>
          <w:bCs/>
          <w:color w:val="auto"/>
          <w:sz w:val="32"/>
          <w:szCs w:val="32"/>
        </w:rPr>
        <w:t>”（https://202.205.185.227/，以下简称</w:t>
      </w:r>
      <w:r>
        <w:rPr>
          <w:rFonts w:ascii="仿宋_GB2312" w:eastAsia="仿宋_GB2312" w:cs="宋体"/>
          <w:b/>
          <w:bCs/>
          <w:color w:val="auto"/>
          <w:sz w:val="32"/>
          <w:szCs w:val="32"/>
        </w:rPr>
        <w:t>平台</w:t>
      </w:r>
      <w:r>
        <w:rPr>
          <w:rFonts w:hint="eastAsia" w:ascii="仿宋_GB2312" w:eastAsia="仿宋_GB2312" w:cs="宋体"/>
          <w:b/>
          <w:bCs/>
          <w:color w:val="auto"/>
          <w:sz w:val="32"/>
          <w:szCs w:val="32"/>
        </w:rPr>
        <w:t>）</w:t>
      </w:r>
      <w:r>
        <w:rPr>
          <w:rFonts w:ascii="仿宋_GB2312" w:eastAsia="仿宋_GB2312" w:cs="宋体"/>
          <w:b/>
          <w:bCs/>
          <w:color w:val="auto"/>
          <w:sz w:val="32"/>
          <w:szCs w:val="32"/>
        </w:rPr>
        <w:t>中的</w:t>
      </w:r>
      <w:r>
        <w:rPr>
          <w:rFonts w:hint="eastAsia" w:ascii="仿宋_GB2312" w:eastAsia="仿宋_GB2312" w:cs="宋体"/>
          <w:b/>
          <w:bCs/>
          <w:color w:val="auto"/>
          <w:sz w:val="32"/>
          <w:szCs w:val="32"/>
          <w:lang w:eastAsia="zh-CN"/>
        </w:rPr>
        <w:t>“</w:t>
      </w:r>
      <w:r>
        <w:rPr>
          <w:rFonts w:hint="eastAsia" w:ascii="仿宋_GB2312" w:eastAsia="仿宋_GB2312" w:cs="宋体"/>
          <w:b/>
          <w:bCs/>
          <w:color w:val="auto"/>
          <w:sz w:val="32"/>
          <w:szCs w:val="32"/>
        </w:rPr>
        <w:t>项目</w:t>
      </w:r>
      <w:r>
        <w:rPr>
          <w:rFonts w:ascii="仿宋_GB2312" w:eastAsia="仿宋_GB2312" w:cs="宋体"/>
          <w:b/>
          <w:bCs/>
          <w:color w:val="auto"/>
          <w:sz w:val="32"/>
          <w:szCs w:val="32"/>
        </w:rPr>
        <w:t>申报系统</w:t>
      </w:r>
      <w:r>
        <w:rPr>
          <w:rFonts w:hint="eastAsia" w:ascii="仿宋_GB2312" w:eastAsia="仿宋_GB2312" w:cs="宋体"/>
          <w:b/>
          <w:bCs/>
          <w:color w:val="auto"/>
          <w:sz w:val="32"/>
          <w:szCs w:val="32"/>
          <w:lang w:eastAsia="zh-CN"/>
        </w:rPr>
        <w:t>”</w:t>
      </w:r>
      <w:r>
        <w:rPr>
          <w:rFonts w:ascii="仿宋_GB2312" w:eastAsia="仿宋_GB2312" w:cs="宋体"/>
          <w:b/>
          <w:bCs/>
          <w:color w:val="auto"/>
          <w:sz w:val="32"/>
          <w:szCs w:val="32"/>
        </w:rPr>
        <w:t>为本次申报的唯一网络平台</w:t>
      </w:r>
      <w:r>
        <w:rPr>
          <w:rFonts w:hint="eastAsia" w:ascii="仿宋_GB2312" w:eastAsia="仿宋_GB2312" w:cs="宋体"/>
          <w:b/>
          <w:bCs/>
          <w:color w:val="auto"/>
          <w:sz w:val="32"/>
          <w:szCs w:val="32"/>
          <w:lang w:eastAsia="zh-CN"/>
        </w:rPr>
        <w:t>。</w:t>
      </w:r>
      <w:r>
        <w:rPr>
          <w:rFonts w:ascii="仿宋_GB2312" w:eastAsia="仿宋_GB2312" w:cs="宋体"/>
          <w:color w:val="auto"/>
          <w:sz w:val="32"/>
          <w:szCs w:val="32"/>
        </w:rPr>
        <w:t>网络申报办法及流程管理以该系统为准</w:t>
      </w:r>
      <w:r>
        <w:rPr>
          <w:rFonts w:hint="eastAsia" w:ascii="仿宋_GB2312" w:eastAsia="仿宋_GB2312"/>
          <w:color w:val="auto"/>
          <w:sz w:val="32"/>
          <w:szCs w:val="32"/>
        </w:rPr>
        <w:t>。</w:t>
      </w:r>
    </w:p>
    <w:p w14:paraId="1B513F83">
      <w:pPr>
        <w:keepNext w:val="0"/>
        <w:keepLines w:val="0"/>
        <w:pageBreakBefore w:val="0"/>
        <w:kinsoku/>
        <w:overflowPunct/>
        <w:topLinePunct w:val="0"/>
        <w:autoSpaceDE/>
        <w:autoSpaceDN/>
        <w:bidi w:val="0"/>
        <w:adjustRightInd/>
        <w:snapToGrid/>
        <w:spacing w:beforeAutospacing="0" w:afterAutospacing="0" w:line="560" w:lineRule="exact"/>
        <w:ind w:right="0" w:firstLine="643" w:firstLineChars="200"/>
        <w:jc w:val="both"/>
        <w:textAlignment w:val="auto"/>
        <w:outlineLvl w:val="9"/>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b/>
          <w:bCs/>
          <w:sz w:val="32"/>
          <w:szCs w:val="32"/>
        </w:rPr>
        <w:t>申报系统于2025年</w:t>
      </w:r>
      <w:r>
        <w:rPr>
          <w:rFonts w:hint="eastAsia" w:ascii="方正仿宋_GB2312" w:hAnsi="方正仿宋_GB2312" w:eastAsia="方正仿宋_GB2312" w:cs="方正仿宋_GB2312"/>
          <w:b/>
          <w:bCs/>
          <w:sz w:val="32"/>
          <w:szCs w:val="32"/>
          <w:lang w:val="en-US" w:eastAsia="zh-CN"/>
        </w:rPr>
        <w:t>5</w:t>
      </w:r>
      <w:r>
        <w:rPr>
          <w:rFonts w:hint="eastAsia" w:ascii="方正仿宋_GB2312" w:hAnsi="方正仿宋_GB2312" w:eastAsia="方正仿宋_GB2312" w:cs="方正仿宋_GB2312"/>
          <w:b/>
          <w:bCs/>
          <w:sz w:val="32"/>
          <w:szCs w:val="32"/>
        </w:rPr>
        <w:t>月</w:t>
      </w:r>
      <w:r>
        <w:rPr>
          <w:rFonts w:hint="eastAsia" w:ascii="方正仿宋_GB2312" w:hAnsi="方正仿宋_GB2312" w:eastAsia="方正仿宋_GB2312" w:cs="方正仿宋_GB2312"/>
          <w:b/>
          <w:bCs/>
          <w:sz w:val="32"/>
          <w:szCs w:val="32"/>
          <w:lang w:val="en-US" w:eastAsia="zh-CN"/>
        </w:rPr>
        <w:t>9</w:t>
      </w:r>
      <w:r>
        <w:rPr>
          <w:rFonts w:hint="eastAsia" w:ascii="方正仿宋_GB2312" w:hAnsi="方正仿宋_GB2312" w:eastAsia="方正仿宋_GB2312" w:cs="方正仿宋_GB2312"/>
          <w:b/>
          <w:bCs/>
          <w:sz w:val="32"/>
          <w:szCs w:val="32"/>
        </w:rPr>
        <w:t>日零时至5月</w:t>
      </w:r>
      <w:r>
        <w:rPr>
          <w:rFonts w:hint="eastAsia" w:ascii="方正仿宋_GB2312" w:hAnsi="方正仿宋_GB2312" w:eastAsia="方正仿宋_GB2312" w:cs="方正仿宋_GB2312"/>
          <w:b/>
          <w:bCs/>
          <w:sz w:val="32"/>
          <w:szCs w:val="32"/>
          <w:lang w:val="en-US" w:eastAsia="zh-CN"/>
        </w:rPr>
        <w:t>16</w:t>
      </w:r>
      <w:r>
        <w:rPr>
          <w:rFonts w:hint="eastAsia" w:ascii="方正仿宋_GB2312" w:hAnsi="方正仿宋_GB2312" w:eastAsia="方正仿宋_GB2312" w:cs="方正仿宋_GB2312"/>
          <w:b/>
          <w:bCs/>
          <w:sz w:val="32"/>
          <w:szCs w:val="32"/>
        </w:rPr>
        <w:t>日17时开放。</w:t>
      </w:r>
      <w:r>
        <w:rPr>
          <w:rFonts w:hint="eastAsia" w:ascii="方正仿宋_GB2312" w:hAnsi="方正仿宋_GB2312" w:eastAsia="方正仿宋_GB2312" w:cs="方正仿宋_GB2312"/>
          <w:sz w:val="32"/>
          <w:szCs w:val="32"/>
        </w:rPr>
        <w:t>在此期间申请人可登录平台，填写并导出《申请书》，</w:t>
      </w:r>
      <w:r>
        <w:rPr>
          <w:rFonts w:hint="eastAsia" w:ascii="方正仿宋_GB2312" w:hAnsi="方正仿宋_GB2312" w:eastAsia="方正仿宋_GB2312" w:cs="方正仿宋_GB2312"/>
          <w:sz w:val="32"/>
          <w:szCs w:val="32"/>
          <w:lang w:val="en-US" w:eastAsia="zh-CN"/>
        </w:rPr>
        <w:t>纸质版</w:t>
      </w:r>
      <w:r>
        <w:rPr>
          <w:rFonts w:hint="eastAsia" w:ascii="方正仿宋_GB2312" w:hAnsi="方正仿宋_GB2312" w:eastAsia="方正仿宋_GB2312" w:cs="方正仿宋_GB2312"/>
          <w:sz w:val="32"/>
          <w:szCs w:val="32"/>
        </w:rPr>
        <w:t>《申请书》</w:t>
      </w:r>
      <w:r>
        <w:rPr>
          <w:rFonts w:hint="eastAsia" w:ascii="方正仿宋_GB2312" w:hAnsi="方正仿宋_GB2312" w:eastAsia="方正仿宋_GB2312" w:cs="方正仿宋_GB2312"/>
          <w:sz w:val="32"/>
          <w:szCs w:val="32"/>
          <w:lang w:val="en-US" w:eastAsia="zh-CN"/>
        </w:rPr>
        <w:t>一式1份</w:t>
      </w:r>
      <w:r>
        <w:rPr>
          <w:rFonts w:hint="eastAsia" w:ascii="方正仿宋_GB2312" w:hAnsi="方正仿宋_GB2312" w:eastAsia="方正仿宋_GB2312" w:cs="方正仿宋_GB2312"/>
          <w:sz w:val="32"/>
          <w:szCs w:val="32"/>
        </w:rPr>
        <w:t>签字</w:t>
      </w:r>
      <w:r>
        <w:rPr>
          <w:rFonts w:hint="eastAsia" w:ascii="方正仿宋_GB2312" w:hAnsi="方正仿宋_GB2312" w:eastAsia="方正仿宋_GB2312" w:cs="方正仿宋_GB2312"/>
          <w:sz w:val="32"/>
          <w:szCs w:val="32"/>
          <w:lang w:val="en-US" w:eastAsia="zh-CN"/>
        </w:rPr>
        <w:t>于5月16日下班前报送至主楼707</w:t>
      </w:r>
      <w:r>
        <w:rPr>
          <w:rFonts w:hint="eastAsia" w:ascii="方正仿宋_GB2312" w:hAnsi="方正仿宋_GB2312" w:eastAsia="方正仿宋_GB2312" w:cs="方正仿宋_GB2312"/>
          <w:sz w:val="32"/>
          <w:szCs w:val="32"/>
        </w:rPr>
        <w:t>，</w:t>
      </w:r>
      <w:r>
        <w:rPr>
          <w:rFonts w:hint="eastAsia" w:ascii="方正仿宋_GB2312" w:hAnsi="方正仿宋_GB2312" w:eastAsia="方正仿宋_GB2312" w:cs="方正仿宋_GB2312"/>
          <w:sz w:val="32"/>
          <w:szCs w:val="32"/>
          <w:lang w:val="en-US" w:eastAsia="zh-CN"/>
        </w:rPr>
        <w:t>由我处盖章返还后</w:t>
      </w:r>
      <w:r>
        <w:rPr>
          <w:rFonts w:hint="eastAsia" w:ascii="方正仿宋_GB2312" w:hAnsi="方正仿宋_GB2312" w:eastAsia="方正仿宋_GB2312" w:cs="方正仿宋_GB2312"/>
          <w:sz w:val="32"/>
          <w:szCs w:val="32"/>
        </w:rPr>
        <w:t>扫描在一个文档中，跟PDF版本的《活页》一起提交到平台上。要确保线上线下《申请书》和《活页》内容完全一致。逾期系统自动关闭，不再受理申报。</w:t>
      </w:r>
    </w:p>
    <w:p w14:paraId="78F8A65F">
      <w:pPr>
        <w:spacing w:line="600" w:lineRule="exact"/>
        <w:ind w:firstLine="640" w:firstLineChars="200"/>
        <w:jc w:val="center"/>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若有问题需咨询，请先查看《2025年度全国教育科学规划各类项目申报常见问题答疑》和《</w:t>
      </w:r>
      <w:r>
        <w:rPr>
          <w:rFonts w:hint="eastAsia" w:ascii="方正仿宋_GB2312" w:hAnsi="方正仿宋_GB2312" w:eastAsia="方正仿宋_GB2312" w:cs="方正仿宋_GB2312"/>
          <w:sz w:val="32"/>
          <w:szCs w:val="32"/>
        </w:rPr>
        <w:fldChar w:fldCharType="begin"/>
      </w:r>
      <w:r>
        <w:rPr>
          <w:rFonts w:hint="eastAsia" w:ascii="方正仿宋_GB2312" w:hAnsi="方正仿宋_GB2312" w:eastAsia="方正仿宋_GB2312" w:cs="方正仿宋_GB2312"/>
          <w:sz w:val="32"/>
          <w:szCs w:val="32"/>
        </w:rPr>
        <w:instrText xml:space="preserve"> HYPERLINK "https://202.205.185.227/indexAction!do_downLoad.action?fId=ff8080818f527e3a018f5b2a02b21127" </w:instrText>
      </w:r>
      <w:r>
        <w:rPr>
          <w:rFonts w:hint="eastAsia" w:ascii="方正仿宋_GB2312" w:hAnsi="方正仿宋_GB2312" w:eastAsia="方正仿宋_GB2312" w:cs="方正仿宋_GB2312"/>
          <w:sz w:val="32"/>
          <w:szCs w:val="32"/>
        </w:rPr>
        <w:fldChar w:fldCharType="separate"/>
      </w:r>
      <w:r>
        <w:rPr>
          <w:rFonts w:hint="eastAsia" w:ascii="方正仿宋_GB2312" w:hAnsi="方正仿宋_GB2312" w:eastAsia="方正仿宋_GB2312" w:cs="方正仿宋_GB2312"/>
          <w:sz w:val="32"/>
          <w:szCs w:val="32"/>
        </w:rPr>
        <w:t>全国教育科学规划管理</w:t>
      </w:r>
    </w:p>
    <w:p w14:paraId="3BC61886">
      <w:pPr>
        <w:spacing w:line="240" w:lineRule="auto"/>
        <w:ind w:firstLine="0" w:firstLineChars="0"/>
        <w:jc w:val="both"/>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rPr>
        <w:t>平台操作手册-其他类别项目申报</w:t>
      </w:r>
      <w:r>
        <w:rPr>
          <w:rFonts w:hint="eastAsia" w:ascii="方正仿宋_GB2312" w:hAnsi="方正仿宋_GB2312" w:eastAsia="方正仿宋_GB2312" w:cs="方正仿宋_GB2312"/>
          <w:sz w:val="32"/>
          <w:szCs w:val="32"/>
        </w:rPr>
        <w:fldChar w:fldCharType="end"/>
      </w:r>
      <w:r>
        <w:rPr>
          <w:rFonts w:hint="eastAsia" w:ascii="方正仿宋_GB2312" w:hAnsi="方正仿宋_GB2312" w:eastAsia="方正仿宋_GB2312" w:cs="方正仿宋_GB2312"/>
          <w:sz w:val="32"/>
          <w:szCs w:val="32"/>
          <w:lang w:eastAsia="zh-CN"/>
        </w:rPr>
        <w:t>》</w:t>
      </w:r>
    </w:p>
    <w:p w14:paraId="2E86B727">
      <w:pPr>
        <w:spacing w:line="600" w:lineRule="exact"/>
        <w:jc w:val="both"/>
        <w:rPr>
          <w:rFonts w:hint="eastAsia" w:ascii="方正仿宋_GB2312" w:hAnsi="方正仿宋_GB2312" w:eastAsia="方正仿宋_GB2312" w:cs="方正仿宋_GB2312"/>
          <w:sz w:val="32"/>
          <w:szCs w:val="32"/>
          <w:lang w:val="en-US" w:eastAsia="zh-CN"/>
        </w:rPr>
      </w:pPr>
    </w:p>
    <w:p w14:paraId="436BE38F">
      <w:pPr>
        <w:spacing w:line="600" w:lineRule="exact"/>
        <w:jc w:val="both"/>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b/>
          <w:bCs/>
          <w:sz w:val="32"/>
          <w:szCs w:val="32"/>
          <w:lang w:val="en-US" w:eastAsia="zh-CN"/>
        </w:rPr>
        <w:t>附件：</w:t>
      </w:r>
      <w:r>
        <w:rPr>
          <w:rFonts w:hint="eastAsia" w:ascii="方正仿宋_GB2312" w:hAnsi="方正仿宋_GB2312" w:eastAsia="方正仿宋_GB2312" w:cs="方正仿宋_GB2312"/>
          <w:sz w:val="32"/>
          <w:szCs w:val="32"/>
          <w:lang w:val="en-US" w:eastAsia="zh-CN"/>
        </w:rPr>
        <w:t>2025年度</w:t>
      </w:r>
      <w:r>
        <w:rPr>
          <w:rFonts w:hint="eastAsia" w:ascii="方正仿宋_GB2312" w:hAnsi="方正仿宋_GB2312" w:eastAsia="方正仿宋_GB2312" w:cs="方正仿宋_GB2312"/>
          <w:sz w:val="32"/>
          <w:szCs w:val="32"/>
          <w:lang w:eastAsia="zh-CN"/>
        </w:rPr>
        <w:t>全国教育科学规划中国教育法治与全球教育治理研究专项</w:t>
      </w:r>
      <w:r>
        <w:rPr>
          <w:rFonts w:hint="eastAsia" w:ascii="方正仿宋_GB2312" w:hAnsi="方正仿宋_GB2312" w:eastAsia="方正仿宋_GB2312" w:cs="方正仿宋_GB2312"/>
          <w:sz w:val="32"/>
          <w:szCs w:val="32"/>
          <w:lang w:val="en-US" w:eastAsia="zh-CN"/>
        </w:rPr>
        <w:t>指南</w:t>
      </w:r>
    </w:p>
    <w:p w14:paraId="78AED774">
      <w:pPr>
        <w:keepNext w:val="0"/>
        <w:keepLines w:val="0"/>
        <w:pageBreakBefore w:val="0"/>
        <w:kinsoku/>
        <w:overflowPunct/>
        <w:topLinePunct w:val="0"/>
        <w:autoSpaceDE/>
        <w:autoSpaceDN/>
        <w:bidi w:val="0"/>
        <w:adjustRightInd/>
        <w:snapToGrid/>
        <w:spacing w:beforeAutospacing="0" w:afterAutospacing="0" w:line="560" w:lineRule="exact"/>
        <w:ind w:right="0"/>
        <w:jc w:val="both"/>
        <w:textAlignment w:val="auto"/>
        <w:outlineLvl w:val="9"/>
        <w:rPr>
          <w:rFonts w:hint="default" w:ascii="方正仿宋_GB2312" w:hAnsi="方正仿宋_GB2312" w:eastAsia="方正仿宋_GB2312" w:cs="方正仿宋_GB2312"/>
          <w:kern w:val="0"/>
          <w:sz w:val="32"/>
          <w:szCs w:val="32"/>
          <w:lang w:val="en-US" w:eastAsia="zh-CN"/>
        </w:rPr>
      </w:pPr>
      <w:r>
        <w:rPr>
          <w:rFonts w:hint="eastAsia" w:ascii="方正仿宋_GB2312" w:hAnsi="方正仿宋_GB2312" w:eastAsia="方正仿宋_GB2312" w:cs="方正仿宋_GB2312"/>
          <w:kern w:val="0"/>
          <w:sz w:val="32"/>
          <w:szCs w:val="32"/>
          <w:lang w:val="en-US" w:eastAsia="zh-CN"/>
        </w:rPr>
        <w:t>联系人：科研与评估督导处 范莹</w:t>
      </w:r>
    </w:p>
    <w:p w14:paraId="14C5CD1C">
      <w:pPr>
        <w:spacing w:line="600" w:lineRule="exact"/>
        <w:jc w:val="both"/>
        <w:rPr>
          <w:rFonts w:hint="default" w:ascii="方正仿宋_GB2312" w:hAnsi="方正仿宋_GB2312" w:eastAsia="方正仿宋_GB2312" w:cs="方正仿宋_GB2312"/>
          <w:sz w:val="32"/>
          <w:szCs w:val="32"/>
          <w:lang w:val="en-US" w:eastAsia="zh-CN"/>
        </w:rPr>
      </w:pPr>
    </w:p>
    <w:p w14:paraId="27573083">
      <w:pPr>
        <w:keepNext w:val="0"/>
        <w:keepLines w:val="0"/>
        <w:pageBreakBefore w:val="0"/>
        <w:kinsoku/>
        <w:wordWrap w:val="0"/>
        <w:overflowPunct/>
        <w:autoSpaceDE/>
        <w:autoSpaceDN/>
        <w:bidi w:val="0"/>
        <w:adjustRightInd/>
        <w:snapToGrid/>
        <w:spacing w:beforeAutospacing="0" w:afterAutospacing="0" w:line="560" w:lineRule="exact"/>
        <w:ind w:right="0" w:firstLine="640" w:firstLineChars="200"/>
        <w:jc w:val="both"/>
        <w:textAlignment w:val="auto"/>
        <w:outlineLvl w:val="9"/>
        <w:rPr>
          <w:rFonts w:hint="eastAsia" w:ascii="仿宋_GB2312" w:hAnsi="Times New Roman" w:eastAsia="仿宋_GB2312" w:cs="Times New Roman"/>
          <w:color w:val="0000FF"/>
          <w:sz w:val="32"/>
          <w:szCs w:val="32"/>
          <w:highlight w:val="none"/>
          <w:lang w:eastAsia="zh-CN"/>
        </w:rPr>
      </w:pPr>
    </w:p>
    <w:p w14:paraId="23AD9283">
      <w:pPr>
        <w:keepNext w:val="0"/>
        <w:keepLines w:val="0"/>
        <w:pageBreakBefore w:val="0"/>
        <w:kinsoku/>
        <w:wordWrap w:val="0"/>
        <w:overflowPunct/>
        <w:autoSpaceDE/>
        <w:autoSpaceDN/>
        <w:bidi w:val="0"/>
        <w:adjustRightInd/>
        <w:snapToGrid/>
        <w:spacing w:beforeAutospacing="0" w:afterAutospacing="0" w:line="560" w:lineRule="exact"/>
        <w:ind w:right="0" w:firstLine="640" w:firstLineChars="200"/>
        <w:jc w:val="both"/>
        <w:textAlignment w:val="auto"/>
        <w:outlineLvl w:val="9"/>
        <w:rPr>
          <w:rFonts w:eastAsia="仿宋_GB2312"/>
          <w:color w:val="auto"/>
          <w:sz w:val="32"/>
          <w:szCs w:val="32"/>
          <w:highlight w:val="none"/>
        </w:rPr>
      </w:pPr>
    </w:p>
    <w:p w14:paraId="5B132914">
      <w:pPr>
        <w:keepNext w:val="0"/>
        <w:keepLines w:val="0"/>
        <w:pageBreakBefore w:val="0"/>
        <w:kinsoku/>
        <w:wordWrap w:val="0"/>
        <w:overflowPunct/>
        <w:autoSpaceDE/>
        <w:autoSpaceDN/>
        <w:bidi w:val="0"/>
        <w:adjustRightInd/>
        <w:snapToGrid/>
        <w:spacing w:beforeAutospacing="0" w:afterAutospacing="0" w:line="560" w:lineRule="exact"/>
        <w:ind w:right="0" w:firstLine="640" w:firstLineChars="200"/>
        <w:jc w:val="both"/>
        <w:textAlignment w:val="auto"/>
        <w:outlineLvl w:val="9"/>
        <w:rPr>
          <w:color w:val="auto"/>
        </w:rPr>
      </w:pPr>
      <w:r>
        <w:rPr>
          <w:rFonts w:hint="eastAsia" w:ascii="仿宋_GB2312" w:hAnsi="仿宋_GB2312" w:eastAsia="仿宋_GB2312" w:cs="仿宋_GB2312"/>
          <w:sz w:val="32"/>
          <w:szCs w:val="32"/>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C77C579-02B6-41A0-88CB-3576A991766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0010101010101"/>
    <w:charset w:val="86"/>
    <w:family w:val="auto"/>
    <w:pitch w:val="default"/>
    <w:sig w:usb0="00000001" w:usb1="080E0000" w:usb2="00000000" w:usb3="00000000" w:csb0="00040000" w:csb1="00000000"/>
    <w:embedRegular r:id="rId2" w:fontKey="{D93E5E78-E204-4574-A630-A70784FE54CB}"/>
  </w:font>
  <w:font w:name="仿宋_GB2312">
    <w:panose1 w:val="02010609030101010101"/>
    <w:charset w:val="86"/>
    <w:family w:val="modern"/>
    <w:pitch w:val="default"/>
    <w:sig w:usb0="00000001" w:usb1="080E0000" w:usb2="00000000" w:usb3="00000000" w:csb0="00040000" w:csb1="00000000"/>
    <w:embedRegular r:id="rId3" w:fontKey="{CACB78C7-3EEC-4B4A-A284-AFC722BF0E5B}"/>
  </w:font>
  <w:font w:name="仿宋">
    <w:panose1 w:val="02010609060101010101"/>
    <w:charset w:val="86"/>
    <w:family w:val="modern"/>
    <w:pitch w:val="default"/>
    <w:sig w:usb0="800002BF" w:usb1="38CF7CFA" w:usb2="00000016" w:usb3="00000000" w:csb0="00040001" w:csb1="00000000"/>
    <w:embedRegular r:id="rId4" w:fontKey="{D38759E6-ACA9-4FA4-8CA1-75DE825803DF}"/>
  </w:font>
  <w:font w:name="方正仿宋_GB2312">
    <w:panose1 w:val="02000000000000000000"/>
    <w:charset w:val="86"/>
    <w:family w:val="auto"/>
    <w:pitch w:val="default"/>
    <w:sig w:usb0="A00002BF" w:usb1="184F6CFA" w:usb2="00000012" w:usb3="00000000" w:csb0="00040001" w:csb1="00000000"/>
    <w:embedRegular r:id="rId5" w:fontKey="{5A8E25DF-A097-46EC-9D67-5FDEA4ADD965}"/>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Y1YTdlNmE3N2U2MWVhODMxZWE2ODcwODdkMzc2ODYifQ=="/>
  </w:docVars>
  <w:rsids>
    <w:rsidRoot w:val="1F7E7B7F"/>
    <w:rsid w:val="020016E9"/>
    <w:rsid w:val="04BA2664"/>
    <w:rsid w:val="04BC5B34"/>
    <w:rsid w:val="053E4A03"/>
    <w:rsid w:val="0598658F"/>
    <w:rsid w:val="066E30C6"/>
    <w:rsid w:val="069D39AB"/>
    <w:rsid w:val="07540EB1"/>
    <w:rsid w:val="0757624F"/>
    <w:rsid w:val="076A643C"/>
    <w:rsid w:val="081449CC"/>
    <w:rsid w:val="08337FE2"/>
    <w:rsid w:val="08470AEB"/>
    <w:rsid w:val="09047D11"/>
    <w:rsid w:val="09AA4D5C"/>
    <w:rsid w:val="09AD3DB5"/>
    <w:rsid w:val="0B424B21"/>
    <w:rsid w:val="0B6F3E2C"/>
    <w:rsid w:val="0C421585"/>
    <w:rsid w:val="0C5768D1"/>
    <w:rsid w:val="0CDD2D53"/>
    <w:rsid w:val="10A1053B"/>
    <w:rsid w:val="12CD5618"/>
    <w:rsid w:val="13451652"/>
    <w:rsid w:val="146707C9"/>
    <w:rsid w:val="14D64C58"/>
    <w:rsid w:val="153F4C7F"/>
    <w:rsid w:val="154C4F1A"/>
    <w:rsid w:val="15A05362"/>
    <w:rsid w:val="17DD454F"/>
    <w:rsid w:val="17EB6C6C"/>
    <w:rsid w:val="18C662FD"/>
    <w:rsid w:val="19030013"/>
    <w:rsid w:val="19D3533F"/>
    <w:rsid w:val="1A2F6BB8"/>
    <w:rsid w:val="1A4E35DA"/>
    <w:rsid w:val="1D9531D6"/>
    <w:rsid w:val="1E401394"/>
    <w:rsid w:val="1E537319"/>
    <w:rsid w:val="1F7E7B7F"/>
    <w:rsid w:val="200B777F"/>
    <w:rsid w:val="20346CD6"/>
    <w:rsid w:val="222114DC"/>
    <w:rsid w:val="2250132E"/>
    <w:rsid w:val="25A033A1"/>
    <w:rsid w:val="27402404"/>
    <w:rsid w:val="29296511"/>
    <w:rsid w:val="295D2698"/>
    <w:rsid w:val="29DF4A6F"/>
    <w:rsid w:val="2BA72A52"/>
    <w:rsid w:val="2C9C632F"/>
    <w:rsid w:val="2CC357F9"/>
    <w:rsid w:val="2EF7419D"/>
    <w:rsid w:val="2F72275C"/>
    <w:rsid w:val="322B026B"/>
    <w:rsid w:val="322E3DFF"/>
    <w:rsid w:val="33FC7E90"/>
    <w:rsid w:val="34360E17"/>
    <w:rsid w:val="34F068FA"/>
    <w:rsid w:val="35EB7FA5"/>
    <w:rsid w:val="36F86858"/>
    <w:rsid w:val="3752100A"/>
    <w:rsid w:val="395A1104"/>
    <w:rsid w:val="39F768A4"/>
    <w:rsid w:val="3AB331C1"/>
    <w:rsid w:val="3B26436B"/>
    <w:rsid w:val="3B3779FE"/>
    <w:rsid w:val="3BBA0580"/>
    <w:rsid w:val="3C432323"/>
    <w:rsid w:val="3C4F1165"/>
    <w:rsid w:val="3C5E0F0B"/>
    <w:rsid w:val="3C5F6FE3"/>
    <w:rsid w:val="3CBE446A"/>
    <w:rsid w:val="3D2A5291"/>
    <w:rsid w:val="3E846C23"/>
    <w:rsid w:val="3F714F82"/>
    <w:rsid w:val="40B42395"/>
    <w:rsid w:val="417E1176"/>
    <w:rsid w:val="41F414D4"/>
    <w:rsid w:val="42DA5063"/>
    <w:rsid w:val="43081BD1"/>
    <w:rsid w:val="43BA3C2F"/>
    <w:rsid w:val="449F4CBA"/>
    <w:rsid w:val="450665E4"/>
    <w:rsid w:val="459935B0"/>
    <w:rsid w:val="45B34405"/>
    <w:rsid w:val="472E0622"/>
    <w:rsid w:val="47CB141F"/>
    <w:rsid w:val="484E4529"/>
    <w:rsid w:val="493C6A78"/>
    <w:rsid w:val="4AA04DE4"/>
    <w:rsid w:val="4C870C01"/>
    <w:rsid w:val="4EE176B5"/>
    <w:rsid w:val="4F190BD2"/>
    <w:rsid w:val="501D5DE6"/>
    <w:rsid w:val="502918AA"/>
    <w:rsid w:val="50342257"/>
    <w:rsid w:val="51581F75"/>
    <w:rsid w:val="519B00B4"/>
    <w:rsid w:val="51C92E73"/>
    <w:rsid w:val="52666914"/>
    <w:rsid w:val="53095C1D"/>
    <w:rsid w:val="53165C44"/>
    <w:rsid w:val="55FC07CB"/>
    <w:rsid w:val="56666EE2"/>
    <w:rsid w:val="574B3F4E"/>
    <w:rsid w:val="580E15DF"/>
    <w:rsid w:val="58177CCE"/>
    <w:rsid w:val="589F492D"/>
    <w:rsid w:val="58DA3BB7"/>
    <w:rsid w:val="59605E6B"/>
    <w:rsid w:val="596B480F"/>
    <w:rsid w:val="59C45287"/>
    <w:rsid w:val="5A5F4374"/>
    <w:rsid w:val="5A813930"/>
    <w:rsid w:val="5AB333EF"/>
    <w:rsid w:val="5ABC597D"/>
    <w:rsid w:val="5B6C0691"/>
    <w:rsid w:val="5CE45830"/>
    <w:rsid w:val="5DF9688E"/>
    <w:rsid w:val="603D6B66"/>
    <w:rsid w:val="64167B96"/>
    <w:rsid w:val="651A5A67"/>
    <w:rsid w:val="65807C48"/>
    <w:rsid w:val="66263F98"/>
    <w:rsid w:val="662B0C58"/>
    <w:rsid w:val="669823DC"/>
    <w:rsid w:val="6703077D"/>
    <w:rsid w:val="678F1A16"/>
    <w:rsid w:val="684D7F02"/>
    <w:rsid w:val="6984405B"/>
    <w:rsid w:val="6ADB7A47"/>
    <w:rsid w:val="6B0A20DA"/>
    <w:rsid w:val="6C425C56"/>
    <w:rsid w:val="6EEB57D0"/>
    <w:rsid w:val="70892B87"/>
    <w:rsid w:val="71104ECC"/>
    <w:rsid w:val="71542301"/>
    <w:rsid w:val="71E91227"/>
    <w:rsid w:val="76343BD9"/>
    <w:rsid w:val="7700247E"/>
    <w:rsid w:val="77955421"/>
    <w:rsid w:val="77F374B5"/>
    <w:rsid w:val="780D5A03"/>
    <w:rsid w:val="78615304"/>
    <w:rsid w:val="7E5564DB"/>
    <w:rsid w:val="7E7E60F9"/>
    <w:rsid w:val="7F741DC0"/>
    <w:rsid w:val="7FEF57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4"/>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footer"/>
    <w:basedOn w:val="1"/>
    <w:autoRedefine/>
    <w:qFormat/>
    <w:uiPriority w:val="99"/>
    <w:pPr>
      <w:tabs>
        <w:tab w:val="center" w:pos="4153"/>
        <w:tab w:val="right" w:pos="8306"/>
      </w:tabs>
      <w:snapToGrid w:val="0"/>
      <w:jc w:val="left"/>
    </w:pPr>
    <w:rPr>
      <w:sz w:val="18"/>
      <w:szCs w:val="18"/>
    </w:rPr>
  </w:style>
  <w:style w:type="paragraph" w:styleId="6">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9">
    <w:name w:val="Strong"/>
    <w:basedOn w:val="8"/>
    <w:autoRedefine/>
    <w:qFormat/>
    <w:uiPriority w:val="0"/>
    <w:rPr>
      <w:b/>
    </w:rPr>
  </w:style>
  <w:style w:type="character" w:styleId="10">
    <w:name w:val="Emphasis"/>
    <w:basedOn w:val="8"/>
    <w:autoRedefine/>
    <w:qFormat/>
    <w:uiPriority w:val="0"/>
    <w:rPr>
      <w:i/>
    </w:rPr>
  </w:style>
  <w:style w:type="character" w:styleId="11">
    <w:name w:val="Hyperlink"/>
    <w:basedOn w:val="8"/>
    <w:autoRedefine/>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1868</Words>
  <Characters>1963</Characters>
  <Lines>0</Lines>
  <Paragraphs>0</Paragraphs>
  <TotalTime>7</TotalTime>
  <ScaleCrop>false</ScaleCrop>
  <LinksUpToDate>false</LinksUpToDate>
  <CharactersWithSpaces>1970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2024-05-06T06:03:00Z</dcterms:created>
  <dc:creator>初见</dc:creator>
  <cp:lastModifiedBy>HL</cp:lastModifiedBy>
  <cp:lastPrinted>2025-04-16T06:13:00Z</cp:lastPrinted>
  <dcterms:modified xsi:type="dcterms:W3CDTF">2025-04-29T01:40:11Z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A963C12B6D6F4D35AC1ADD988748847D_13</vt:lpwstr>
  </property>
  <property fmtid="{D5CDD505-2E9C-101B-9397-08002B2CF9AE}" pid="4" name="KSOTemplateDocerSaveRecord">
    <vt:lpwstr>eyJoZGlkIjoiMzEwNTM5NzYwMDRjMzkwZTVkZjY2ODkwMGIxNGU0OTUiLCJ1c2VySWQiOiIxMDE4ODUyMjM1In0=</vt:lpwstr>
  </property>
</Properties>
</file>