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8EBC0">
      <w:pPr>
        <w:spacing w:before="104" w:line="223" w:lineRule="auto"/>
        <w:jc w:val="both"/>
        <w:outlineLvl w:val="1"/>
        <w:rPr>
          <w:rFonts w:hint="eastAsia" w:ascii="黑体" w:hAnsi="黑体" w:eastAsia="黑体" w:cs="黑体"/>
          <w:sz w:val="32"/>
          <w:szCs w:val="32"/>
          <w:lang w:val="en-US" w:eastAsia="zh-CN"/>
        </w:rPr>
      </w:pPr>
      <w:bookmarkStart w:id="0" w:name="_Toc180409426"/>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14:paraId="02118B13">
      <w:pPr>
        <w:spacing w:before="104" w:line="223" w:lineRule="auto"/>
        <w:jc w:val="center"/>
        <w:outlineLvl w:val="1"/>
        <w:rPr>
          <w:rFonts w:hint="eastAsia" w:ascii="黑体" w:hAnsi="黑体" w:eastAsia="方正小标宋简体" w:cs="宋体"/>
          <w:b/>
          <w:bCs/>
          <w:sz w:val="44"/>
          <w:szCs w:val="44"/>
          <w:lang w:eastAsia="zh-CN"/>
        </w:rPr>
      </w:pPr>
      <w:r>
        <w:rPr>
          <w:rFonts w:hint="eastAsia" w:ascii="方正小标宋简体" w:hAnsi="方正小标宋简体" w:eastAsia="方正小标宋简体" w:cs="方正小标宋简体"/>
          <w:sz w:val="44"/>
          <w:szCs w:val="44"/>
        </w:rPr>
        <w:t>黑龙江省高等职业学校教育教学关键要素评估指标</w:t>
      </w:r>
      <w:bookmarkEnd w:id="0"/>
      <w:r>
        <w:rPr>
          <w:rFonts w:hint="eastAsia" w:ascii="方正小标宋简体" w:hAnsi="方正小标宋简体" w:eastAsia="方正小标宋简体" w:cs="方正小标宋简体"/>
          <w:sz w:val="44"/>
          <w:szCs w:val="44"/>
          <w:lang w:eastAsia="zh-CN"/>
        </w:rPr>
        <w:t>（试行）</w:t>
      </w:r>
    </w:p>
    <w:tbl>
      <w:tblPr>
        <w:tblStyle w:val="9"/>
        <w:tblW w:w="5101" w:type="pct"/>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9"/>
        <w:gridCol w:w="1415"/>
        <w:gridCol w:w="11596"/>
      </w:tblGrid>
      <w:tr w14:paraId="1A1A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tblHeader/>
        </w:trPr>
        <w:tc>
          <w:tcPr>
            <w:tcW w:w="1238" w:type="dxa"/>
            <w:vAlign w:val="center"/>
          </w:tcPr>
          <w:p w14:paraId="5B3EFC7F">
            <w:pPr>
              <w:widowControl w:val="0"/>
              <w:kinsoku/>
              <w:wordWrap w:val="0"/>
              <w:topLinePunct/>
              <w:autoSpaceDE/>
              <w:autoSpaceDN/>
              <w:adjustRightInd/>
              <w:snapToGrid/>
              <w:spacing w:before="104" w:line="223" w:lineRule="auto"/>
              <w:jc w:val="center"/>
              <w:textAlignment w:val="center"/>
              <w:outlineLvl w:val="1"/>
              <w:rPr>
                <w:rFonts w:hint="eastAsia" w:ascii="黑体" w:hAnsi="黑体" w:eastAsia="黑体" w:cs="黑体"/>
                <w:b w:val="0"/>
                <w:bCs w:val="0"/>
                <w:sz w:val="24"/>
                <w:szCs w:val="24"/>
              </w:rPr>
            </w:pPr>
            <w:bookmarkStart w:id="1" w:name="_Toc180409427"/>
            <w:r>
              <w:rPr>
                <w:rFonts w:hint="eastAsia" w:ascii="黑体" w:hAnsi="黑体" w:eastAsia="黑体" w:cs="黑体"/>
                <w:b w:val="0"/>
                <w:bCs w:val="0"/>
                <w:sz w:val="24"/>
                <w:szCs w:val="24"/>
              </w:rPr>
              <w:t>一级要素</w:t>
            </w:r>
            <w:bookmarkEnd w:id="1"/>
          </w:p>
        </w:tc>
        <w:tc>
          <w:tcPr>
            <w:tcW w:w="1414" w:type="dxa"/>
            <w:vAlign w:val="center"/>
          </w:tcPr>
          <w:p w14:paraId="3762D63B">
            <w:pPr>
              <w:widowControl w:val="0"/>
              <w:kinsoku/>
              <w:wordWrap w:val="0"/>
              <w:topLinePunct/>
              <w:autoSpaceDE/>
              <w:autoSpaceDN/>
              <w:adjustRightInd/>
              <w:snapToGrid/>
              <w:spacing w:before="104" w:line="223" w:lineRule="auto"/>
              <w:jc w:val="center"/>
              <w:textAlignment w:val="center"/>
              <w:outlineLvl w:val="1"/>
              <w:rPr>
                <w:rFonts w:hint="eastAsia" w:ascii="黑体" w:hAnsi="黑体" w:eastAsia="黑体" w:cs="黑体"/>
                <w:b w:val="0"/>
                <w:bCs w:val="0"/>
                <w:sz w:val="24"/>
                <w:szCs w:val="24"/>
              </w:rPr>
            </w:pPr>
            <w:bookmarkStart w:id="2" w:name="_Toc180409428"/>
            <w:r>
              <w:rPr>
                <w:rFonts w:hint="eastAsia" w:ascii="黑体" w:hAnsi="黑体" w:eastAsia="黑体" w:cs="黑体"/>
                <w:b w:val="0"/>
                <w:bCs w:val="0"/>
                <w:sz w:val="24"/>
                <w:szCs w:val="24"/>
              </w:rPr>
              <w:t>二级要素</w:t>
            </w:r>
            <w:bookmarkEnd w:id="2"/>
          </w:p>
        </w:tc>
        <w:tc>
          <w:tcPr>
            <w:tcW w:w="11590" w:type="dxa"/>
            <w:vAlign w:val="center"/>
          </w:tcPr>
          <w:p w14:paraId="54F851F4">
            <w:pPr>
              <w:widowControl w:val="0"/>
              <w:kinsoku/>
              <w:wordWrap w:val="0"/>
              <w:topLinePunct/>
              <w:autoSpaceDE/>
              <w:autoSpaceDN/>
              <w:adjustRightInd/>
              <w:snapToGrid/>
              <w:spacing w:before="104" w:line="223" w:lineRule="auto"/>
              <w:jc w:val="center"/>
              <w:textAlignment w:val="center"/>
              <w:outlineLvl w:val="1"/>
              <w:rPr>
                <w:rFonts w:hint="eastAsia" w:ascii="黑体" w:hAnsi="黑体" w:eastAsia="黑体" w:cs="黑体"/>
                <w:b w:val="0"/>
                <w:bCs w:val="0"/>
                <w:sz w:val="24"/>
                <w:szCs w:val="24"/>
              </w:rPr>
            </w:pPr>
            <w:bookmarkStart w:id="3" w:name="_Toc180409429"/>
            <w:r>
              <w:rPr>
                <w:rFonts w:hint="eastAsia" w:ascii="黑体" w:hAnsi="黑体" w:eastAsia="黑体" w:cs="黑体"/>
                <w:b w:val="0"/>
                <w:bCs w:val="0"/>
                <w:sz w:val="24"/>
                <w:szCs w:val="24"/>
              </w:rPr>
              <w:t>要素内涵及观测点</w:t>
            </w:r>
            <w:bookmarkEnd w:id="3"/>
          </w:p>
        </w:tc>
      </w:tr>
      <w:tr w14:paraId="51CB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trPr>
        <w:tc>
          <w:tcPr>
            <w:tcW w:w="1238" w:type="dxa"/>
            <w:vMerge w:val="restart"/>
            <w:vAlign w:val="center"/>
          </w:tcPr>
          <w:p w14:paraId="0114C39C">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1</w:t>
            </w:r>
            <w:r>
              <w:rPr>
                <w:rFonts w:hint="eastAsia" w:ascii="仿宋_GB2312" w:hAnsi="仿宋_GB2312" w:eastAsia="仿宋_GB2312" w:cs="仿宋_GB2312"/>
                <w:b w:val="0"/>
                <w:bCs w:val="0"/>
                <w:sz w:val="24"/>
                <w:szCs w:val="24"/>
              </w:rPr>
              <w:t>.专业</w:t>
            </w:r>
          </w:p>
          <w:p w14:paraId="17872328">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p>
        </w:tc>
        <w:tc>
          <w:tcPr>
            <w:tcW w:w="1414" w:type="dxa"/>
            <w:vAlign w:val="center"/>
          </w:tcPr>
          <w:p w14:paraId="76103A7C">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.1专业建设</w:t>
            </w:r>
          </w:p>
        </w:tc>
        <w:tc>
          <w:tcPr>
            <w:tcW w:w="11590" w:type="dxa"/>
            <w:vAlign w:val="center"/>
          </w:tcPr>
          <w:p w14:paraId="372FE91D">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1.聚焦龙江“4567”现代化产业体系等重点领域，对接行业产业链及区域经济社会发展需求科学设置专业，有效开展“双论证”工作；主要专业（群）符合行业特点、地方产业布局与结构调整需求，能够支撑学校凝练形成办学特色及优势。</w:t>
            </w:r>
          </w:p>
          <w:p w14:paraId="2BF9B76C">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2.有明确的专业设置标准和程序，行业、企业等利益相关方参与，建立专业（群）动态调整机制，按照国家《专业目录》《专业简介》每3-5年</w:t>
            </w:r>
            <w:r>
              <w:rPr>
                <w:rFonts w:hint="eastAsia" w:ascii="仿宋_GB2312" w:hAnsi="仿宋_GB2312" w:eastAsia="仿宋_GB2312" w:cs="仿宋_GB2312"/>
                <w:color w:val="auto"/>
                <w:sz w:val="24"/>
                <w:szCs w:val="24"/>
                <w:u w:val="none"/>
                <w:vertAlign w:val="superscript"/>
                <w:lang w:eastAsia="zh-CN"/>
              </w:rPr>
              <w:t>1</w:t>
            </w:r>
            <w:r>
              <w:rPr>
                <w:rFonts w:hint="eastAsia" w:ascii="仿宋_GB2312" w:hAnsi="仿宋_GB2312" w:eastAsia="仿宋_GB2312" w:cs="仿宋_GB2312"/>
                <w:color w:val="auto"/>
                <w:sz w:val="24"/>
                <w:szCs w:val="24"/>
                <w:u w:val="none"/>
                <w:lang w:eastAsia="zh-CN"/>
              </w:rPr>
              <w:t>调整或适时更新专业。</w:t>
            </w:r>
          </w:p>
          <w:p w14:paraId="75085060">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3.专业建设规划科学可行，坚持产教融合、校企合作建设专业，主要专业（群）资源配置、</w:t>
            </w:r>
            <w:r>
              <w:rPr>
                <w:rFonts w:hint="eastAsia" w:ascii="仿宋_GB2312" w:hAnsi="仿宋_GB2312" w:eastAsia="仿宋_GB2312" w:cs="仿宋_GB2312"/>
                <w:color w:val="auto"/>
                <w:sz w:val="24"/>
                <w:szCs w:val="24"/>
                <w:highlight w:val="yellow"/>
                <w:u w:val="none"/>
                <w:lang w:eastAsia="zh-CN"/>
              </w:rPr>
              <w:t>学生规模与学校办学定位的匹配度高、社会认可度高</w:t>
            </w:r>
            <w:r>
              <w:rPr>
                <w:rFonts w:hint="eastAsia" w:ascii="仿宋_GB2312" w:hAnsi="仿宋_GB2312" w:eastAsia="仿宋_GB2312" w:cs="仿宋_GB2312"/>
                <w:color w:val="auto"/>
                <w:sz w:val="24"/>
                <w:szCs w:val="24"/>
                <w:u w:val="none"/>
                <w:lang w:eastAsia="zh-CN"/>
              </w:rPr>
              <w:t>。</w:t>
            </w:r>
          </w:p>
          <w:p w14:paraId="37FFF6AF">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4.主动适应数字化、智能化、高质量的新要求，专业结构与产业布局协调，重点发展产业急需或紧缺专业，结合产业技术突破、工艺改进、业态升级等情况改造升级现有专业、及时开设新专业（方向），培育孵化新兴专业，主要专业（群）非本地教育行政主管部门“预警”或“限制发展”的专业。</w:t>
            </w:r>
          </w:p>
          <w:p w14:paraId="7B57B7EF">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5.具备高技能人才培养所需的教学场所、师资队伍和设施设备等条件和保障，管理制度健全，运行规范有效。</w:t>
            </w:r>
          </w:p>
        </w:tc>
      </w:tr>
      <w:tr w14:paraId="5322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3" w:hRule="atLeast"/>
        </w:trPr>
        <w:tc>
          <w:tcPr>
            <w:tcW w:w="1238" w:type="dxa"/>
            <w:vMerge w:val="continue"/>
            <w:vAlign w:val="center"/>
          </w:tcPr>
          <w:p w14:paraId="789394FD">
            <w:pPr>
              <w:widowControl w:val="0"/>
              <w:kinsoku/>
              <w:wordWrap w:val="0"/>
              <w:topLinePunct/>
              <w:autoSpaceDE/>
              <w:autoSpaceDN/>
              <w:jc w:val="center"/>
              <w:textAlignment w:val="center"/>
              <w:rPr>
                <w:rFonts w:hint="eastAsia" w:ascii="仿宋_GB2312" w:hAnsi="仿宋_GB2312" w:eastAsia="仿宋_GB2312" w:cs="仿宋_GB2312"/>
                <w:b w:val="0"/>
                <w:bCs w:val="0"/>
                <w:sz w:val="24"/>
                <w:szCs w:val="24"/>
              </w:rPr>
            </w:pPr>
          </w:p>
        </w:tc>
        <w:tc>
          <w:tcPr>
            <w:tcW w:w="1414" w:type="dxa"/>
            <w:vAlign w:val="center"/>
          </w:tcPr>
          <w:p w14:paraId="0B3DA15B">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.2人才培养</w:t>
            </w:r>
          </w:p>
        </w:tc>
        <w:tc>
          <w:tcPr>
            <w:tcW w:w="11590" w:type="dxa"/>
            <w:vAlign w:val="center"/>
          </w:tcPr>
          <w:p w14:paraId="71C95A72">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6.坚持和加强党的全面领导，贯彻党的教育方针，坚持立德树人，实施三全育人，坚持五育并举，注重劳模精神、劳动精神、工匠精神培养。</w:t>
            </w:r>
          </w:p>
          <w:p w14:paraId="02594440">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7.落实国家职业学校专业人才培养方案编制要求，培养目标明确、培养方案合理，实施规范，修订及时。制定对外合作工作规划，推进优质教育资源共享。</w:t>
            </w:r>
          </w:p>
          <w:p w14:paraId="71F71063">
            <w:pPr>
              <w:pStyle w:val="10"/>
              <w:kinsoku/>
              <w:autoSpaceDE/>
              <w:autoSpaceDN/>
              <w:textAlignment w:val="auto"/>
              <w:rPr>
                <w:rFonts w:hint="eastAsia" w:ascii="仿宋_GB2312" w:hAnsi="仿宋_GB2312" w:eastAsia="仿宋_GB2312" w:cs="仿宋_GB2312"/>
                <w:color w:val="auto"/>
                <w:sz w:val="24"/>
                <w:szCs w:val="24"/>
                <w:u w:val="none"/>
                <w:vertAlign w:val="superscript"/>
                <w:lang w:eastAsia="zh-CN"/>
              </w:rPr>
            </w:pPr>
            <w:r>
              <w:rPr>
                <w:rFonts w:hint="eastAsia" w:ascii="仿宋_GB2312" w:hAnsi="仿宋_GB2312" w:eastAsia="仿宋_GB2312" w:cs="仿宋_GB2312"/>
                <w:color w:val="auto"/>
                <w:sz w:val="24"/>
                <w:szCs w:val="24"/>
                <w:u w:val="none"/>
                <w:lang w:eastAsia="zh-CN"/>
              </w:rPr>
              <w:t>8.依据办学定位和人才培养目标，围绕区域经济社会发展（产业集群）需求，坚持校企协同育人，行业企业参与人才培养全过程，创新校企合作、工学结合人才培养模式，开展委托培养、订单培养与中国特色学徒制培养；实践教学学时不少于总学时的50%,学生在实习单位的岗位实习时间一般为6个月。</w:t>
            </w:r>
            <w:r>
              <w:rPr>
                <w:rFonts w:hint="eastAsia" w:ascii="仿宋_GB2312" w:hAnsi="仿宋_GB2312" w:eastAsia="仿宋_GB2312" w:cs="仿宋_GB2312"/>
                <w:color w:val="auto"/>
                <w:sz w:val="24"/>
                <w:szCs w:val="24"/>
                <w:u w:val="none"/>
                <w:vertAlign w:val="superscript"/>
                <w:lang w:eastAsia="zh-CN"/>
              </w:rPr>
              <w:t>2</w:t>
            </w:r>
          </w:p>
        </w:tc>
      </w:tr>
      <w:tr w14:paraId="59BD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8" w:hRule="atLeast"/>
        </w:trPr>
        <w:tc>
          <w:tcPr>
            <w:tcW w:w="1238" w:type="dxa"/>
            <w:vMerge w:val="continue"/>
            <w:vAlign w:val="center"/>
          </w:tcPr>
          <w:p w14:paraId="0BFEBE02">
            <w:pPr>
              <w:widowControl w:val="0"/>
              <w:kinsoku/>
              <w:wordWrap w:val="0"/>
              <w:topLinePunct/>
              <w:autoSpaceDE/>
              <w:autoSpaceDN/>
              <w:jc w:val="center"/>
              <w:textAlignment w:val="center"/>
              <w:rPr>
                <w:rFonts w:hint="eastAsia" w:ascii="仿宋_GB2312" w:hAnsi="仿宋_GB2312" w:eastAsia="仿宋_GB2312" w:cs="仿宋_GB2312"/>
                <w:b w:val="0"/>
                <w:bCs w:val="0"/>
                <w:sz w:val="24"/>
                <w:szCs w:val="24"/>
              </w:rPr>
            </w:pPr>
          </w:p>
        </w:tc>
        <w:tc>
          <w:tcPr>
            <w:tcW w:w="1414" w:type="dxa"/>
            <w:vAlign w:val="center"/>
          </w:tcPr>
          <w:p w14:paraId="27AB4B41">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.3就业状况</w:t>
            </w:r>
          </w:p>
        </w:tc>
        <w:tc>
          <w:tcPr>
            <w:tcW w:w="11590" w:type="dxa"/>
            <w:vAlign w:val="center"/>
          </w:tcPr>
          <w:p w14:paraId="0EB4A5DF">
            <w:pPr>
              <w:pStyle w:val="10"/>
              <w:kinsoku/>
              <w:autoSpaceDE/>
              <w:autoSpaceDN/>
              <w:textAlignment w:val="auto"/>
              <w:rPr>
                <w:rFonts w:hint="eastAsia" w:ascii="仿宋_GB2312" w:hAnsi="仿宋_GB2312" w:eastAsia="仿宋_GB2312" w:cs="仿宋_GB2312"/>
                <w:b w:val="0"/>
                <w:bCs w:val="0"/>
                <w:color w:val="auto"/>
                <w:sz w:val="24"/>
                <w:szCs w:val="24"/>
                <w:u w:val="none"/>
                <w:lang w:eastAsia="zh-CN"/>
              </w:rPr>
            </w:pPr>
            <w:r>
              <w:rPr>
                <w:rFonts w:hint="eastAsia" w:ascii="仿宋_GB2312" w:hAnsi="仿宋_GB2312" w:eastAsia="仿宋_GB2312" w:cs="仿宋_GB2312"/>
                <w:b w:val="0"/>
                <w:bCs w:val="0"/>
                <w:color w:val="auto"/>
                <w:sz w:val="24"/>
                <w:szCs w:val="24"/>
                <w:u w:val="none"/>
                <w:lang w:eastAsia="zh-CN"/>
              </w:rPr>
              <w:t>9.以促进就业为导向，</w:t>
            </w:r>
            <w:r>
              <w:rPr>
                <w:rFonts w:hint="eastAsia" w:ascii="仿宋_GB2312" w:hAnsi="仿宋_GB2312" w:eastAsia="仿宋_GB2312" w:cs="仿宋_GB2312"/>
                <w:b w:val="0"/>
                <w:bCs w:val="0"/>
                <w:color w:val="auto"/>
                <w:sz w:val="24"/>
                <w:szCs w:val="24"/>
                <w:u w:val="none"/>
                <w:lang w:val="en-US" w:eastAsia="zh-CN"/>
              </w:rPr>
              <w:t>严格落实就业工作“机构、人员、场地、经费”四到位要求，</w:t>
            </w:r>
            <w:r>
              <w:rPr>
                <w:rFonts w:hint="eastAsia" w:ascii="仿宋_GB2312" w:hAnsi="仿宋_GB2312" w:eastAsia="仿宋_GB2312" w:cs="仿宋_GB2312"/>
                <w:b w:val="0"/>
                <w:bCs w:val="0"/>
                <w:color w:val="auto"/>
                <w:sz w:val="24"/>
                <w:szCs w:val="24"/>
                <w:u w:val="none"/>
                <w:lang w:eastAsia="zh-CN"/>
              </w:rPr>
              <w:t>加强学生就业创业能力培养，积极</w:t>
            </w:r>
            <w:r>
              <w:rPr>
                <w:rFonts w:hint="eastAsia" w:ascii="仿宋_GB2312" w:hAnsi="仿宋_GB2312" w:eastAsia="仿宋_GB2312" w:cs="仿宋_GB2312"/>
                <w:b w:val="0"/>
                <w:bCs w:val="0"/>
                <w:color w:val="auto"/>
                <w:sz w:val="24"/>
                <w:szCs w:val="24"/>
                <w:u w:val="none"/>
                <w:lang w:val="en-US" w:eastAsia="zh-CN"/>
              </w:rPr>
              <w:t>开拓</w:t>
            </w:r>
            <w:r>
              <w:rPr>
                <w:rFonts w:hint="eastAsia" w:ascii="仿宋_GB2312" w:hAnsi="仿宋_GB2312" w:eastAsia="仿宋_GB2312" w:cs="仿宋_GB2312"/>
                <w:b w:val="0"/>
                <w:bCs w:val="0"/>
                <w:color w:val="auto"/>
                <w:sz w:val="24"/>
                <w:szCs w:val="24"/>
                <w:u w:val="none"/>
                <w:lang w:eastAsia="zh-CN"/>
              </w:rPr>
              <w:t>市场</w:t>
            </w:r>
            <w:r>
              <w:rPr>
                <w:rFonts w:hint="eastAsia" w:ascii="仿宋_GB2312" w:hAnsi="仿宋_GB2312" w:eastAsia="仿宋_GB2312" w:cs="仿宋_GB2312"/>
                <w:b w:val="0"/>
                <w:bCs w:val="0"/>
                <w:color w:val="auto"/>
                <w:sz w:val="24"/>
                <w:szCs w:val="24"/>
                <w:u w:val="none"/>
                <w:lang w:val="en-US" w:eastAsia="zh-CN"/>
              </w:rPr>
              <w:t>化、</w:t>
            </w:r>
            <w:r>
              <w:rPr>
                <w:rFonts w:hint="eastAsia" w:ascii="仿宋_GB2312" w:hAnsi="仿宋_GB2312" w:eastAsia="仿宋_GB2312" w:cs="仿宋_GB2312"/>
                <w:b w:val="0"/>
                <w:bCs w:val="0"/>
                <w:color w:val="auto"/>
                <w:sz w:val="24"/>
                <w:szCs w:val="24"/>
                <w:u w:val="none"/>
                <w:lang w:eastAsia="zh-CN"/>
              </w:rPr>
              <w:t>社会</w:t>
            </w:r>
            <w:r>
              <w:rPr>
                <w:rFonts w:hint="eastAsia" w:ascii="仿宋_GB2312" w:hAnsi="仿宋_GB2312" w:eastAsia="仿宋_GB2312" w:cs="仿宋_GB2312"/>
                <w:b w:val="0"/>
                <w:bCs w:val="0"/>
                <w:color w:val="auto"/>
                <w:sz w:val="24"/>
                <w:szCs w:val="24"/>
                <w:u w:val="none"/>
                <w:lang w:val="en-US" w:eastAsia="zh-CN"/>
              </w:rPr>
              <w:t>化</w:t>
            </w:r>
            <w:r>
              <w:rPr>
                <w:rFonts w:hint="eastAsia" w:ascii="仿宋_GB2312" w:hAnsi="仿宋_GB2312" w:eastAsia="仿宋_GB2312" w:cs="仿宋_GB2312"/>
                <w:b w:val="0"/>
                <w:bCs w:val="0"/>
                <w:color w:val="auto"/>
                <w:sz w:val="24"/>
                <w:szCs w:val="24"/>
                <w:u w:val="none"/>
                <w:lang w:eastAsia="zh-CN"/>
              </w:rPr>
              <w:t>促就业资源，</w:t>
            </w:r>
            <w:r>
              <w:rPr>
                <w:rFonts w:hint="eastAsia" w:ascii="仿宋_GB2312" w:hAnsi="仿宋_GB2312" w:eastAsia="仿宋_GB2312" w:cs="仿宋_GB2312"/>
                <w:b w:val="0"/>
                <w:bCs w:val="0"/>
                <w:color w:val="auto"/>
                <w:sz w:val="24"/>
                <w:szCs w:val="24"/>
                <w:u w:val="none"/>
                <w:lang w:val="en-US" w:eastAsia="zh-CN"/>
              </w:rPr>
              <w:t>深入挖掘城乡基层就业岗位。加强就业指导体系建设，将生涯教育与就业指导课程作为必修课列入人才培养方案，给予不少于38学时、2学分保障。落实就业困难群体“一对一”帮扶机制，提供“三优先”服务。初次</w:t>
            </w:r>
            <w:r>
              <w:rPr>
                <w:rFonts w:hint="eastAsia" w:ascii="仿宋_GB2312" w:hAnsi="仿宋_GB2312" w:eastAsia="仿宋_GB2312" w:cs="仿宋_GB2312"/>
                <w:b w:val="0"/>
                <w:bCs w:val="0"/>
                <w:color w:val="auto"/>
                <w:sz w:val="24"/>
                <w:szCs w:val="24"/>
                <w:u w:val="none"/>
                <w:lang w:eastAsia="zh-CN"/>
              </w:rPr>
              <w:t>毕业去向落实率高、主要专业对口就业率高</w:t>
            </w:r>
            <w:r>
              <w:rPr>
                <w:rFonts w:hint="eastAsia" w:ascii="仿宋_GB2312" w:hAnsi="仿宋_GB2312" w:eastAsia="仿宋_GB2312" w:cs="仿宋_GB2312"/>
                <w:b w:val="0"/>
                <w:bCs w:val="0"/>
                <w:color w:val="auto"/>
                <w:sz w:val="24"/>
                <w:szCs w:val="24"/>
                <w:u w:val="none"/>
                <w:vertAlign w:val="superscript"/>
                <w:lang w:eastAsia="zh-CN"/>
              </w:rPr>
              <w:t>3</w:t>
            </w:r>
            <w:r>
              <w:rPr>
                <w:rFonts w:hint="eastAsia" w:ascii="仿宋_GB2312" w:hAnsi="仿宋_GB2312" w:eastAsia="仿宋_GB2312" w:cs="仿宋_GB2312"/>
                <w:b w:val="0"/>
                <w:bCs w:val="0"/>
                <w:color w:val="auto"/>
                <w:sz w:val="24"/>
                <w:szCs w:val="24"/>
                <w:u w:val="none"/>
                <w:lang w:eastAsia="zh-CN"/>
              </w:rPr>
              <w:t>，</w:t>
            </w:r>
            <w:r>
              <w:rPr>
                <w:rFonts w:hint="eastAsia" w:ascii="仿宋_GB2312" w:hAnsi="仿宋_GB2312" w:eastAsia="仿宋_GB2312" w:cs="仿宋_GB2312"/>
                <w:b w:val="0"/>
                <w:bCs w:val="0"/>
                <w:color w:val="auto"/>
                <w:sz w:val="24"/>
                <w:szCs w:val="24"/>
                <w:u w:val="none"/>
                <w:lang w:val="en-US" w:eastAsia="zh-CN"/>
              </w:rPr>
              <w:t>困难群体落实率高于全校平均水平，</w:t>
            </w:r>
            <w:r>
              <w:rPr>
                <w:rFonts w:hint="eastAsia" w:ascii="仿宋_GB2312" w:hAnsi="仿宋_GB2312" w:eastAsia="仿宋_GB2312" w:cs="仿宋_GB2312"/>
                <w:b w:val="0"/>
                <w:bCs w:val="0"/>
                <w:color w:val="auto"/>
                <w:sz w:val="24"/>
                <w:szCs w:val="24"/>
                <w:u w:val="none"/>
                <w:lang w:eastAsia="zh-CN"/>
              </w:rPr>
              <w:t>“红黄牌”提示学生专业点招生调减及相关工作落实到位。</w:t>
            </w:r>
          </w:p>
        </w:tc>
      </w:tr>
      <w:tr w14:paraId="48C5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1" w:hRule="atLeast"/>
        </w:trPr>
        <w:tc>
          <w:tcPr>
            <w:tcW w:w="1238" w:type="dxa"/>
            <w:vMerge w:val="restart"/>
            <w:vAlign w:val="center"/>
          </w:tcPr>
          <w:p w14:paraId="28C37379">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2</w:t>
            </w:r>
            <w:r>
              <w:rPr>
                <w:rFonts w:hint="eastAsia" w:ascii="仿宋_GB2312" w:hAnsi="仿宋_GB2312" w:eastAsia="仿宋_GB2312" w:cs="仿宋_GB2312"/>
                <w:b w:val="0"/>
                <w:bCs w:val="0"/>
                <w:sz w:val="24"/>
                <w:szCs w:val="24"/>
              </w:rPr>
              <w:t>.课程</w:t>
            </w:r>
          </w:p>
          <w:p w14:paraId="5C650A5E">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p>
        </w:tc>
        <w:tc>
          <w:tcPr>
            <w:tcW w:w="1414" w:type="dxa"/>
            <w:vAlign w:val="center"/>
          </w:tcPr>
          <w:p w14:paraId="6CD5F580">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.1思政课程</w:t>
            </w:r>
          </w:p>
        </w:tc>
        <w:tc>
          <w:tcPr>
            <w:tcW w:w="11590" w:type="dxa"/>
            <w:vAlign w:val="center"/>
          </w:tcPr>
          <w:p w14:paraId="4E5750DE">
            <w:pPr>
              <w:pStyle w:val="10"/>
              <w:kinsoku/>
              <w:autoSpaceDE/>
              <w:autoSpaceDN/>
              <w:textAlignment w:val="auto"/>
              <w:rPr>
                <w:rFonts w:hint="eastAsia" w:ascii="仿宋_GB2312" w:hAnsi="仿宋_GB2312" w:eastAsia="仿宋_GB2312" w:cs="仿宋_GB2312"/>
                <w:b w:val="0"/>
                <w:bCs w:val="0"/>
                <w:color w:val="auto"/>
                <w:sz w:val="24"/>
                <w:szCs w:val="24"/>
                <w:u w:val="none"/>
                <w:lang w:eastAsia="zh-CN"/>
              </w:rPr>
            </w:pPr>
            <w:r>
              <w:rPr>
                <w:rFonts w:hint="eastAsia" w:ascii="仿宋_GB2312" w:hAnsi="仿宋_GB2312" w:eastAsia="仿宋_GB2312" w:cs="仿宋_GB2312"/>
                <w:b w:val="0"/>
                <w:bCs w:val="0"/>
                <w:color w:val="auto"/>
                <w:sz w:val="24"/>
                <w:szCs w:val="24"/>
                <w:u w:val="none"/>
                <w:lang w:eastAsia="zh-CN"/>
              </w:rPr>
              <w:t>10.坚持以习近平新时代中国特色社会主义思想为指导，建立高校党委书记、校长带头抓思政课机制，教学管理制度健全，开齐开足各门思政课程，实践教学纳入教学计划，覆盖全体学生，设立专项经费，用于教师学术交流、实践研修等，培养让党放心</w:t>
            </w:r>
            <w:bookmarkStart w:id="4" w:name="_GoBack"/>
            <w:bookmarkEnd w:id="4"/>
            <w:r>
              <w:rPr>
                <w:rFonts w:hint="eastAsia" w:ascii="仿宋_GB2312" w:hAnsi="仿宋_GB2312" w:eastAsia="仿宋_GB2312" w:cs="仿宋_GB2312"/>
                <w:b w:val="0"/>
                <w:bCs w:val="0"/>
                <w:color w:val="auto"/>
                <w:sz w:val="24"/>
                <w:szCs w:val="24"/>
                <w:u w:val="none"/>
                <w:lang w:eastAsia="zh-CN"/>
              </w:rPr>
              <w:t>、爱国奉献、担当民族复兴重任的时代新人。</w:t>
            </w:r>
          </w:p>
        </w:tc>
      </w:tr>
      <w:tr w14:paraId="0DF3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38" w:type="dxa"/>
            <w:vMerge w:val="continue"/>
            <w:vAlign w:val="center"/>
          </w:tcPr>
          <w:p w14:paraId="0B93AF88">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p>
        </w:tc>
        <w:tc>
          <w:tcPr>
            <w:tcW w:w="1414" w:type="dxa"/>
            <w:vAlign w:val="center"/>
          </w:tcPr>
          <w:p w14:paraId="637F45C9">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.2课程建设</w:t>
            </w:r>
          </w:p>
        </w:tc>
        <w:tc>
          <w:tcPr>
            <w:tcW w:w="11590" w:type="dxa"/>
            <w:vAlign w:val="center"/>
          </w:tcPr>
          <w:p w14:paraId="6B05826D">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11.课程设置以服务学生全面发展和适应经济社会发展需求为导向，符合国家专业教学标准，课程标准符合人才培养方案要求，能够支撑培养目标达成。</w:t>
            </w:r>
          </w:p>
          <w:p w14:paraId="0FFB0FA7">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12.结构合理，公共基础课程学时不少于总学时的1/4</w:t>
            </w:r>
            <w:r>
              <w:rPr>
                <w:rFonts w:hint="eastAsia" w:ascii="仿宋_GB2312" w:hAnsi="仿宋_GB2312" w:eastAsia="仿宋_GB2312" w:cs="仿宋_GB2312"/>
                <w:color w:val="auto"/>
                <w:sz w:val="24"/>
                <w:szCs w:val="24"/>
                <w:u w:val="none"/>
                <w:vertAlign w:val="superscript"/>
                <w:lang w:eastAsia="zh-CN"/>
              </w:rPr>
              <w:t>4</w:t>
            </w:r>
            <w:r>
              <w:rPr>
                <w:rFonts w:hint="eastAsia" w:ascii="仿宋_GB2312" w:hAnsi="仿宋_GB2312" w:eastAsia="仿宋_GB2312" w:cs="仿宋_GB2312"/>
                <w:color w:val="auto"/>
                <w:sz w:val="24"/>
                <w:szCs w:val="24"/>
                <w:u w:val="none"/>
                <w:lang w:eastAsia="zh-CN"/>
              </w:rPr>
              <w:t>;专业课程对接职业岗位（群）要求，突出实践性和递进性；选修课程体现专业和区域特色，学时不少于总学时的10%</w:t>
            </w:r>
            <w:r>
              <w:rPr>
                <w:rFonts w:hint="eastAsia" w:ascii="仿宋_GB2312" w:hAnsi="仿宋_GB2312" w:eastAsia="仿宋_GB2312" w:cs="仿宋_GB2312"/>
                <w:color w:val="auto"/>
                <w:sz w:val="24"/>
                <w:szCs w:val="24"/>
                <w:u w:val="none"/>
                <w:vertAlign w:val="superscript"/>
                <w:lang w:eastAsia="zh-CN"/>
              </w:rPr>
              <w:t>5</w:t>
            </w:r>
            <w:r>
              <w:rPr>
                <w:rFonts w:hint="eastAsia" w:ascii="仿宋_GB2312" w:hAnsi="仿宋_GB2312" w:eastAsia="仿宋_GB2312" w:cs="仿宋_GB2312"/>
                <w:color w:val="auto"/>
                <w:sz w:val="24"/>
                <w:szCs w:val="24"/>
                <w:u w:val="none"/>
                <w:lang w:eastAsia="zh-CN"/>
              </w:rPr>
              <w:t>。</w:t>
            </w:r>
          </w:p>
          <w:p w14:paraId="5A965788">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13.课程内容反映企业（行业）真实工作任务和工作过程，对接职业岗位（群）能力要求，绘制能力图谱；根据产业发展及时更新课程内容，反映相关领域新标准、新技术、新工艺、新方法。</w:t>
            </w:r>
          </w:p>
          <w:p w14:paraId="464E9785">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14.全面实施课程思政，深入挖掘具有职业特征和行业特色的思政元素，推进课程思政与思政课程同向同行。</w:t>
            </w:r>
          </w:p>
        </w:tc>
      </w:tr>
      <w:tr w14:paraId="6BAF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9" w:hRule="atLeast"/>
        </w:trPr>
        <w:tc>
          <w:tcPr>
            <w:tcW w:w="1238" w:type="dxa"/>
            <w:vMerge w:val="continue"/>
            <w:vAlign w:val="center"/>
          </w:tcPr>
          <w:p w14:paraId="43BA0052">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p>
        </w:tc>
        <w:tc>
          <w:tcPr>
            <w:tcW w:w="1414" w:type="dxa"/>
            <w:vAlign w:val="center"/>
          </w:tcPr>
          <w:p w14:paraId="441ED411">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.3教学与评价</w:t>
            </w:r>
          </w:p>
        </w:tc>
        <w:tc>
          <w:tcPr>
            <w:tcW w:w="11590" w:type="dxa"/>
            <w:vAlign w:val="center"/>
          </w:tcPr>
          <w:p w14:paraId="17EC4E60">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15.坚持因材施教，利用数字技术改进教学方法，推行项目教学、案例教学、情境教学、模块化教学等，专业课程广泛采用“学中做、做中学”。</w:t>
            </w:r>
          </w:p>
          <w:p w14:paraId="10DDB0AE">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16.建立健全质量保障体系，建有教学质量标准，多元主体参与教学评价；常态化实施教学质量监控，运用数智化管理，规范采集人才培养状态数据，落实学校质量年度报告发布制度，改进结果评价，强化过程评价，探索增值评价，评价结果运用于教学改进。</w:t>
            </w:r>
          </w:p>
        </w:tc>
      </w:tr>
      <w:tr w14:paraId="5526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trPr>
        <w:tc>
          <w:tcPr>
            <w:tcW w:w="1238" w:type="dxa"/>
            <w:vMerge w:val="restart"/>
            <w:vAlign w:val="center"/>
          </w:tcPr>
          <w:p w14:paraId="4758964D">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3</w:t>
            </w:r>
            <w:r>
              <w:rPr>
                <w:rFonts w:hint="eastAsia" w:ascii="仿宋_GB2312" w:hAnsi="仿宋_GB2312" w:eastAsia="仿宋_GB2312" w:cs="仿宋_GB2312"/>
                <w:b w:val="0"/>
                <w:bCs w:val="0"/>
                <w:sz w:val="24"/>
                <w:szCs w:val="24"/>
              </w:rPr>
              <w:t>.教材</w:t>
            </w:r>
          </w:p>
          <w:p w14:paraId="391770BF">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p>
        </w:tc>
        <w:tc>
          <w:tcPr>
            <w:tcW w:w="1414" w:type="dxa"/>
            <w:shd w:val="clear" w:color="auto" w:fill="auto"/>
            <w:vAlign w:val="center"/>
          </w:tcPr>
          <w:p w14:paraId="44E476C6">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.1教材管理与选用</w:t>
            </w:r>
          </w:p>
        </w:tc>
        <w:tc>
          <w:tcPr>
            <w:tcW w:w="11590" w:type="dxa"/>
            <w:shd w:val="clear" w:color="auto" w:fill="auto"/>
            <w:vAlign w:val="center"/>
          </w:tcPr>
          <w:p w14:paraId="24A9F2D7">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17.落实国家教材管理有关规定，党委对教材负总责，建有教材工作委员会、教材管理制度并运行有效。</w:t>
            </w:r>
          </w:p>
          <w:p w14:paraId="7BBDAC6E">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18.使用国家统编的思政课程教材、马克思主义理论研究和建设工程重点教材；优先选用国家和省级职业教育优秀教材、规划教材；专业课程主要选用校企合作编写并正式出版的教材。</w:t>
            </w:r>
          </w:p>
        </w:tc>
      </w:tr>
      <w:tr w14:paraId="2717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3" w:hRule="atLeast"/>
        </w:trPr>
        <w:tc>
          <w:tcPr>
            <w:tcW w:w="1238" w:type="dxa"/>
            <w:vMerge w:val="continue"/>
            <w:vAlign w:val="center"/>
          </w:tcPr>
          <w:p w14:paraId="43B881C6">
            <w:pPr>
              <w:pStyle w:val="10"/>
              <w:widowControl w:val="0"/>
              <w:kinsoku/>
              <w:wordWrap w:val="0"/>
              <w:topLinePunct/>
              <w:autoSpaceDE/>
              <w:autoSpaceDN/>
              <w:jc w:val="both"/>
              <w:textAlignment w:val="center"/>
              <w:rPr>
                <w:rFonts w:hint="eastAsia" w:ascii="仿宋_GB2312" w:hAnsi="仿宋_GB2312" w:eastAsia="仿宋_GB2312" w:cs="仿宋_GB2312"/>
                <w:b w:val="0"/>
                <w:bCs w:val="0"/>
                <w:sz w:val="24"/>
                <w:szCs w:val="24"/>
                <w:lang w:eastAsia="zh-CN"/>
              </w:rPr>
            </w:pPr>
          </w:p>
        </w:tc>
        <w:tc>
          <w:tcPr>
            <w:tcW w:w="1414" w:type="dxa"/>
            <w:shd w:val="clear" w:color="auto" w:fill="auto"/>
            <w:vAlign w:val="center"/>
          </w:tcPr>
          <w:p w14:paraId="62917045">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.2教材开发</w:t>
            </w:r>
          </w:p>
        </w:tc>
        <w:tc>
          <w:tcPr>
            <w:tcW w:w="11590" w:type="dxa"/>
            <w:shd w:val="clear" w:color="auto" w:fill="auto"/>
            <w:vAlign w:val="center"/>
          </w:tcPr>
          <w:p w14:paraId="29F66D54">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19.校企联合创作编写教辅材料，创新开发活页式、工作手册（说明书）式、融媒体式等新型教材，推进数字教材建设，教材内容符合国家专业教学标准和职业标准（规范）要求，体现课程思政和产业变化。建立教师参与教材建设、开展教材研究的激励机制和经费保障制度。</w:t>
            </w:r>
          </w:p>
        </w:tc>
      </w:tr>
      <w:tr w14:paraId="37A0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1" w:hRule="atLeast"/>
        </w:trPr>
        <w:tc>
          <w:tcPr>
            <w:tcW w:w="1238" w:type="dxa"/>
            <w:vMerge w:val="restart"/>
            <w:shd w:val="clear" w:color="auto" w:fill="auto"/>
            <w:vAlign w:val="center"/>
          </w:tcPr>
          <w:p w14:paraId="62BA8AE8">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4</w:t>
            </w:r>
            <w:r>
              <w:rPr>
                <w:rFonts w:hint="eastAsia" w:ascii="仿宋_GB2312" w:hAnsi="仿宋_GB2312" w:eastAsia="仿宋_GB2312" w:cs="仿宋_GB2312"/>
                <w:b w:val="0"/>
                <w:bCs w:val="0"/>
                <w:sz w:val="24"/>
                <w:szCs w:val="24"/>
              </w:rPr>
              <w:t>.师资</w:t>
            </w:r>
          </w:p>
          <w:p w14:paraId="458B6F9B">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p>
        </w:tc>
        <w:tc>
          <w:tcPr>
            <w:tcW w:w="1414" w:type="dxa"/>
            <w:shd w:val="clear" w:color="auto" w:fill="auto"/>
            <w:vAlign w:val="center"/>
          </w:tcPr>
          <w:p w14:paraId="20919252">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.1师德师风</w:t>
            </w:r>
          </w:p>
        </w:tc>
        <w:tc>
          <w:tcPr>
            <w:tcW w:w="11590" w:type="dxa"/>
            <w:shd w:val="clear" w:color="auto" w:fill="auto"/>
            <w:vAlign w:val="center"/>
          </w:tcPr>
          <w:p w14:paraId="741885C8">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20.践行教育家精神，落实《中共中央 国务院关于弘扬教育家精神加强新时代高素质专业化教师队伍建设的意见》《关于健全新时代师德师风建设长效机制的意见》,坚持师德师风第一标准，涵养高尚师德师风，健全师德教育、典型引领、教师准入、日常监管、考核评价、监督指导、举报核处、责任追究、权益保障、责任落实等10项机制，对师德违规“零容忍”。</w:t>
            </w:r>
          </w:p>
        </w:tc>
      </w:tr>
      <w:tr w14:paraId="6676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3" w:hRule="atLeast"/>
        </w:trPr>
        <w:tc>
          <w:tcPr>
            <w:tcW w:w="1238" w:type="dxa"/>
            <w:vMerge w:val="continue"/>
            <w:vAlign w:val="center"/>
          </w:tcPr>
          <w:p w14:paraId="39C3C74F">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p>
        </w:tc>
        <w:tc>
          <w:tcPr>
            <w:tcW w:w="1414" w:type="dxa"/>
            <w:shd w:val="clear" w:color="auto" w:fill="auto"/>
            <w:vAlign w:val="center"/>
          </w:tcPr>
          <w:p w14:paraId="05121A8E">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4.2思政课教师与辅导员队伍</w:t>
            </w:r>
          </w:p>
        </w:tc>
        <w:tc>
          <w:tcPr>
            <w:tcW w:w="11590" w:type="dxa"/>
            <w:shd w:val="clear" w:color="auto" w:fill="auto"/>
            <w:vAlign w:val="center"/>
          </w:tcPr>
          <w:p w14:paraId="05D6EC16">
            <w:pPr>
              <w:pStyle w:val="10"/>
              <w:kinsoku/>
              <w:autoSpaceDE/>
              <w:autoSpaceDN/>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21.专职思政课教师与全日制在校生比例不低于1:350</w:t>
            </w:r>
            <w:r>
              <w:rPr>
                <w:rFonts w:hint="eastAsia" w:ascii="仿宋_GB2312" w:hAnsi="仿宋_GB2312" w:eastAsia="仿宋_GB2312" w:cs="仿宋_GB2312"/>
                <w:color w:val="auto"/>
                <w:sz w:val="24"/>
                <w:szCs w:val="24"/>
                <w:u w:val="none"/>
                <w:vertAlign w:val="superscript"/>
                <w:lang w:eastAsia="zh-CN"/>
              </w:rPr>
              <w:t>6</w:t>
            </w:r>
            <w:r>
              <w:rPr>
                <w:rFonts w:hint="eastAsia" w:ascii="仿宋_GB2312" w:hAnsi="仿宋_GB2312" w:eastAsia="仿宋_GB2312" w:cs="仿宋_GB2312"/>
                <w:color w:val="auto"/>
                <w:sz w:val="24"/>
                <w:szCs w:val="24"/>
                <w:u w:val="none"/>
                <w:lang w:eastAsia="zh-CN"/>
              </w:rPr>
              <w:t>,专职辅导员与全日制在校生比例不低于1:200</w:t>
            </w:r>
            <w:r>
              <w:rPr>
                <w:rFonts w:hint="eastAsia" w:ascii="仿宋_GB2312" w:hAnsi="仿宋_GB2312" w:eastAsia="仿宋_GB2312" w:cs="仿宋_GB2312"/>
                <w:color w:val="auto"/>
                <w:sz w:val="24"/>
                <w:szCs w:val="24"/>
                <w:u w:val="none"/>
                <w:vertAlign w:val="superscript"/>
                <w:lang w:eastAsia="zh-CN"/>
              </w:rPr>
              <w:t>7</w:t>
            </w:r>
            <w:r>
              <w:rPr>
                <w:rFonts w:hint="eastAsia" w:ascii="仿宋_GB2312" w:hAnsi="仿宋_GB2312" w:eastAsia="仿宋_GB2312" w:cs="仿宋_GB2312"/>
                <w:color w:val="auto"/>
                <w:sz w:val="24"/>
                <w:szCs w:val="24"/>
                <w:u w:val="none"/>
                <w:lang w:eastAsia="zh-CN"/>
              </w:rPr>
              <w:t>,专职心理健康教育教师与全日制在校生比例不低于1:4000,且至少配备2名</w:t>
            </w:r>
            <w:r>
              <w:rPr>
                <w:rFonts w:hint="eastAsia" w:ascii="仿宋_GB2312" w:hAnsi="仿宋_GB2312" w:eastAsia="仿宋_GB2312" w:cs="仿宋_GB2312"/>
                <w:color w:val="auto"/>
                <w:sz w:val="24"/>
                <w:szCs w:val="24"/>
                <w:u w:val="none"/>
                <w:vertAlign w:val="superscript"/>
                <w:lang w:eastAsia="zh-CN"/>
              </w:rPr>
              <w:t>8</w:t>
            </w:r>
            <w:r>
              <w:rPr>
                <w:rFonts w:hint="eastAsia" w:ascii="仿宋_GB2312" w:hAnsi="仿宋_GB2312" w:eastAsia="仿宋_GB2312" w:cs="仿宋_GB2312"/>
                <w:color w:val="auto"/>
                <w:sz w:val="24"/>
                <w:szCs w:val="24"/>
                <w:u w:val="none"/>
                <w:lang w:eastAsia="zh-CN"/>
              </w:rPr>
              <w:t>;思政教师与辅导员深入参与“一站式”学生社区建设与运行。</w:t>
            </w:r>
          </w:p>
        </w:tc>
      </w:tr>
      <w:tr w14:paraId="1E06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7" w:hRule="atLeast"/>
        </w:trPr>
        <w:tc>
          <w:tcPr>
            <w:tcW w:w="1238" w:type="dxa"/>
            <w:vMerge w:val="continue"/>
            <w:vAlign w:val="center"/>
          </w:tcPr>
          <w:p w14:paraId="678895D9">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p>
        </w:tc>
        <w:tc>
          <w:tcPr>
            <w:tcW w:w="1414" w:type="dxa"/>
            <w:shd w:val="clear" w:color="auto" w:fill="auto"/>
            <w:vAlign w:val="center"/>
          </w:tcPr>
          <w:p w14:paraId="370C1A0A">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.3数量结构</w:t>
            </w:r>
          </w:p>
        </w:tc>
        <w:tc>
          <w:tcPr>
            <w:tcW w:w="11590" w:type="dxa"/>
            <w:shd w:val="clear" w:color="auto" w:fill="auto"/>
            <w:vAlign w:val="center"/>
          </w:tcPr>
          <w:p w14:paraId="293C98A3">
            <w:pPr>
              <w:pStyle w:val="10"/>
              <w:widowControl w:val="0"/>
              <w:kinsoku/>
              <w:wordWrap w:val="0"/>
              <w:topLinePunct/>
              <w:autoSpaceDE/>
              <w:autoSpaceDN/>
              <w:ind w:right="64"/>
              <w:jc w:val="both"/>
              <w:textAlignment w:val="center"/>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22.符合《职业学校办学条件重点监测指标》要求；师生比不低于1:18</w:t>
            </w:r>
            <w:r>
              <w:rPr>
                <w:rFonts w:hint="eastAsia" w:ascii="仿宋_GB2312" w:hAnsi="仿宋_GB2312" w:eastAsia="仿宋_GB2312" w:cs="仿宋_GB2312"/>
                <w:color w:val="auto"/>
                <w:sz w:val="24"/>
                <w:szCs w:val="24"/>
                <w:u w:val="none"/>
                <w:vertAlign w:val="superscript"/>
                <w:lang w:eastAsia="zh-CN"/>
              </w:rPr>
              <w:t>9</w:t>
            </w:r>
            <w:r>
              <w:rPr>
                <w:rFonts w:hint="eastAsia" w:ascii="仿宋_GB2312" w:hAnsi="仿宋_GB2312" w:eastAsia="仿宋_GB2312" w:cs="仿宋_GB2312"/>
                <w:color w:val="auto"/>
                <w:sz w:val="24"/>
                <w:szCs w:val="24"/>
                <w:u w:val="none"/>
                <w:lang w:eastAsia="zh-CN"/>
              </w:rPr>
              <w:t>,“双师型”专业课专任教师数量占专业课专任教师的比例达到50%</w:t>
            </w:r>
            <w:r>
              <w:rPr>
                <w:rFonts w:hint="eastAsia" w:ascii="仿宋_GB2312" w:hAnsi="仿宋_GB2312" w:eastAsia="仿宋_GB2312" w:cs="仿宋_GB2312"/>
                <w:color w:val="auto"/>
                <w:sz w:val="24"/>
                <w:szCs w:val="24"/>
                <w:u w:val="none"/>
                <w:vertAlign w:val="superscript"/>
                <w:lang w:eastAsia="zh-CN"/>
              </w:rPr>
              <w:t>10</w:t>
            </w:r>
            <w:r>
              <w:rPr>
                <w:rFonts w:hint="eastAsia" w:ascii="仿宋_GB2312" w:hAnsi="仿宋_GB2312" w:eastAsia="仿宋_GB2312" w:cs="仿宋_GB2312"/>
                <w:color w:val="auto"/>
                <w:sz w:val="24"/>
                <w:szCs w:val="24"/>
                <w:u w:val="none"/>
                <w:lang w:eastAsia="zh-CN"/>
              </w:rPr>
              <w:t>以上，来自行业企业一线的兼职教师占比不超过专任教师总数的30%</w:t>
            </w:r>
            <w:r>
              <w:rPr>
                <w:rFonts w:hint="eastAsia" w:ascii="仿宋_GB2312" w:hAnsi="仿宋_GB2312" w:eastAsia="仿宋_GB2312" w:cs="仿宋_GB2312"/>
                <w:color w:val="auto"/>
                <w:sz w:val="24"/>
                <w:szCs w:val="24"/>
                <w:u w:val="none"/>
                <w:vertAlign w:val="superscript"/>
                <w:lang w:eastAsia="zh-CN"/>
              </w:rPr>
              <w:t>11</w:t>
            </w:r>
            <w:r>
              <w:rPr>
                <w:rFonts w:hint="eastAsia" w:ascii="仿宋_GB2312" w:hAnsi="仿宋_GB2312" w:eastAsia="仿宋_GB2312" w:cs="仿宋_GB2312"/>
                <w:color w:val="auto"/>
                <w:sz w:val="24"/>
                <w:szCs w:val="24"/>
                <w:u w:val="none"/>
                <w:lang w:eastAsia="zh-CN"/>
              </w:rPr>
              <w:t>,有校企混编“双师”结构教师团队。</w:t>
            </w:r>
          </w:p>
        </w:tc>
      </w:tr>
      <w:tr w14:paraId="57A5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2" w:hRule="atLeast"/>
        </w:trPr>
        <w:tc>
          <w:tcPr>
            <w:tcW w:w="1238" w:type="dxa"/>
            <w:vMerge w:val="continue"/>
            <w:vAlign w:val="center"/>
          </w:tcPr>
          <w:p w14:paraId="7D05371E">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p>
        </w:tc>
        <w:tc>
          <w:tcPr>
            <w:tcW w:w="1414" w:type="dxa"/>
            <w:shd w:val="clear" w:color="auto" w:fill="auto"/>
            <w:vAlign w:val="center"/>
          </w:tcPr>
          <w:p w14:paraId="60A5EAD0">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.4职业能力</w:t>
            </w:r>
          </w:p>
        </w:tc>
        <w:tc>
          <w:tcPr>
            <w:tcW w:w="11590" w:type="dxa"/>
            <w:shd w:val="clear" w:color="auto" w:fill="auto"/>
            <w:vAlign w:val="center"/>
          </w:tcPr>
          <w:p w14:paraId="476B7AF6">
            <w:pPr>
              <w:pStyle w:val="10"/>
              <w:widowControl w:val="0"/>
              <w:numPr>
                <w:ilvl w:val="0"/>
                <w:numId w:val="0"/>
              </w:numPr>
              <w:kinsoku/>
              <w:wordWrap w:val="0"/>
              <w:topLinePunct/>
              <w:autoSpaceDE/>
              <w:autoSpaceDN/>
              <w:jc w:val="both"/>
              <w:textAlignment w:val="center"/>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val="en-US" w:eastAsia="zh-CN"/>
              </w:rPr>
              <w:t>23.</w:t>
            </w:r>
            <w:r>
              <w:rPr>
                <w:rFonts w:hint="eastAsia" w:ascii="仿宋_GB2312" w:hAnsi="仿宋_GB2312" w:eastAsia="仿宋_GB2312" w:cs="仿宋_GB2312"/>
                <w:color w:val="auto"/>
                <w:sz w:val="24"/>
                <w:szCs w:val="24"/>
                <w:u w:val="none"/>
                <w:lang w:eastAsia="zh-CN"/>
              </w:rPr>
              <w:t>专业带头人定期到企业（行业）工作、挂职锻炼或开展项目合作；专业课教师每年至少累计1个月</w:t>
            </w:r>
            <w:r>
              <w:rPr>
                <w:rFonts w:hint="eastAsia" w:ascii="仿宋_GB2312" w:hAnsi="仿宋_GB2312" w:eastAsia="仿宋_GB2312" w:cs="仿宋_GB2312"/>
                <w:color w:val="auto"/>
                <w:sz w:val="24"/>
                <w:szCs w:val="24"/>
                <w:u w:val="none"/>
                <w:vertAlign w:val="superscript"/>
                <w:lang w:eastAsia="zh-CN"/>
              </w:rPr>
              <w:t>12</w:t>
            </w:r>
            <w:r>
              <w:rPr>
                <w:rFonts w:hint="eastAsia" w:ascii="仿宋_GB2312" w:hAnsi="仿宋_GB2312" w:eastAsia="仿宋_GB2312" w:cs="仿宋_GB2312"/>
                <w:color w:val="auto"/>
                <w:sz w:val="24"/>
                <w:szCs w:val="24"/>
                <w:u w:val="none"/>
                <w:lang w:eastAsia="zh-CN"/>
              </w:rPr>
              <w:t>在企业（行业）实践或实训基地实训；主要专业（群）新进的专业课教师（含实习指导教师）应当具有一定年限的相应工作经历或实践经验，达到相应的技术技能水平。</w:t>
            </w:r>
          </w:p>
          <w:p w14:paraId="1EBFD45E">
            <w:pPr>
              <w:pStyle w:val="10"/>
              <w:widowControl w:val="0"/>
              <w:kinsoku/>
              <w:wordWrap w:val="0"/>
              <w:topLinePunct/>
              <w:autoSpaceDE/>
              <w:autoSpaceDN/>
              <w:jc w:val="both"/>
              <w:textAlignment w:val="center"/>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24.制定学校教师队伍建设专项规划，分层分类开展教师培训，细化教师专业核心能力点，针对性提升教师能力；专任教师数字素养适应教师专业发展数字化要求。</w:t>
            </w:r>
          </w:p>
        </w:tc>
      </w:tr>
      <w:tr w14:paraId="0E23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1238" w:type="dxa"/>
            <w:vMerge w:val="restart"/>
            <w:vAlign w:val="center"/>
          </w:tcPr>
          <w:p w14:paraId="14A512F7">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5.实习实训</w:t>
            </w:r>
          </w:p>
          <w:p w14:paraId="3449550B">
            <w:pPr>
              <w:pStyle w:val="10"/>
              <w:widowControl w:val="0"/>
              <w:kinsoku/>
              <w:wordWrap w:val="0"/>
              <w:topLinePunct/>
              <w:autoSpaceDE/>
              <w:autoSpaceDN/>
              <w:jc w:val="center"/>
              <w:textAlignment w:val="center"/>
              <w:rPr>
                <w:rFonts w:hint="eastAsia" w:ascii="仿宋_GB2312" w:hAnsi="仿宋_GB2312" w:eastAsia="仿宋_GB2312" w:cs="仿宋_GB2312"/>
                <w:b w:val="0"/>
                <w:bCs w:val="0"/>
                <w:sz w:val="24"/>
                <w:szCs w:val="24"/>
                <w:lang w:eastAsia="zh-CN"/>
              </w:rPr>
            </w:pPr>
          </w:p>
        </w:tc>
        <w:tc>
          <w:tcPr>
            <w:tcW w:w="1414" w:type="dxa"/>
            <w:shd w:val="clear" w:color="auto" w:fill="auto"/>
            <w:vAlign w:val="center"/>
          </w:tcPr>
          <w:p w14:paraId="447169F3">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.1实训条件</w:t>
            </w:r>
          </w:p>
        </w:tc>
        <w:tc>
          <w:tcPr>
            <w:tcW w:w="11590" w:type="dxa"/>
            <w:shd w:val="clear" w:color="auto" w:fill="auto"/>
            <w:vAlign w:val="center"/>
          </w:tcPr>
          <w:p w14:paraId="5A5A172D">
            <w:pPr>
              <w:pStyle w:val="10"/>
              <w:widowControl w:val="0"/>
              <w:kinsoku/>
              <w:wordWrap w:val="0"/>
              <w:topLinePunct/>
              <w:autoSpaceDE/>
              <w:autoSpaceDN/>
              <w:jc w:val="both"/>
              <w:textAlignment w:val="center"/>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25.校内实训设备、实训工位满足实践教学要求，实训经费有保障；主要专业（群）建有基于企业真实生产环境和标准的实训基地；设施设备管理规范，利用率高。</w:t>
            </w:r>
          </w:p>
          <w:p w14:paraId="73215FBF">
            <w:pPr>
              <w:pStyle w:val="10"/>
              <w:widowControl w:val="0"/>
              <w:kinsoku/>
              <w:wordWrap w:val="0"/>
              <w:topLinePunct/>
              <w:autoSpaceDE/>
              <w:autoSpaceDN/>
              <w:jc w:val="both"/>
              <w:textAlignment w:val="center"/>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26.建有相对稳定、满足教学需求的校外实训基地且有效使用，能够体现企业真实生产场景，建立动态更新机制。</w:t>
            </w:r>
          </w:p>
        </w:tc>
      </w:tr>
      <w:tr w14:paraId="15F7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9" w:hRule="atLeast"/>
        </w:trPr>
        <w:tc>
          <w:tcPr>
            <w:tcW w:w="1238" w:type="dxa"/>
            <w:vMerge w:val="continue"/>
            <w:vAlign w:val="center"/>
          </w:tcPr>
          <w:p w14:paraId="602C5FC4">
            <w:pPr>
              <w:pStyle w:val="10"/>
              <w:widowControl w:val="0"/>
              <w:kinsoku/>
              <w:wordWrap w:val="0"/>
              <w:topLinePunct/>
              <w:autoSpaceDE/>
              <w:autoSpaceDN/>
              <w:jc w:val="center"/>
              <w:textAlignment w:val="center"/>
              <w:rPr>
                <w:rFonts w:hint="eastAsia" w:ascii="仿宋_GB2312" w:hAnsi="仿宋_GB2312" w:eastAsia="仿宋_GB2312" w:cs="仿宋_GB2312"/>
                <w:b/>
                <w:bCs/>
                <w:sz w:val="24"/>
                <w:szCs w:val="24"/>
                <w:lang w:eastAsia="zh-CN"/>
              </w:rPr>
            </w:pPr>
          </w:p>
        </w:tc>
        <w:tc>
          <w:tcPr>
            <w:tcW w:w="1414" w:type="dxa"/>
            <w:shd w:val="clear" w:color="auto" w:fill="auto"/>
            <w:vAlign w:val="center"/>
          </w:tcPr>
          <w:p w14:paraId="777275C7">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.2岗位实习</w:t>
            </w:r>
          </w:p>
        </w:tc>
        <w:tc>
          <w:tcPr>
            <w:tcW w:w="11590" w:type="dxa"/>
            <w:shd w:val="clear" w:color="auto" w:fill="auto"/>
            <w:vAlign w:val="center"/>
          </w:tcPr>
          <w:p w14:paraId="7E52ED69">
            <w:pPr>
              <w:pStyle w:val="10"/>
              <w:widowControl w:val="0"/>
              <w:kinsoku/>
              <w:wordWrap w:val="0"/>
              <w:topLinePunct/>
              <w:autoSpaceDE/>
              <w:autoSpaceDN/>
              <w:jc w:val="both"/>
              <w:textAlignment w:val="center"/>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27.实习岗位、实习内容符合职业能力培养要求，将劳动教育、社会实践纳入实习内容。</w:t>
            </w:r>
          </w:p>
          <w:p w14:paraId="6BCAA512">
            <w:pPr>
              <w:pStyle w:val="10"/>
              <w:widowControl w:val="0"/>
              <w:kinsoku/>
              <w:wordWrap w:val="0"/>
              <w:topLinePunct/>
              <w:autoSpaceDE/>
              <w:autoSpaceDN/>
              <w:jc w:val="both"/>
              <w:textAlignment w:val="center"/>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28.严格执行《职业学校学生实习管理规定》，依法保障学生权益。</w:t>
            </w:r>
          </w:p>
        </w:tc>
      </w:tr>
      <w:tr w14:paraId="07B3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atLeast"/>
        </w:trPr>
        <w:tc>
          <w:tcPr>
            <w:tcW w:w="1238" w:type="dxa"/>
            <w:vMerge w:val="continue"/>
            <w:vAlign w:val="center"/>
          </w:tcPr>
          <w:p w14:paraId="0CFF69ED">
            <w:pPr>
              <w:pStyle w:val="10"/>
              <w:widowControl w:val="0"/>
              <w:kinsoku/>
              <w:wordWrap w:val="0"/>
              <w:topLinePunct/>
              <w:autoSpaceDE/>
              <w:autoSpaceDN/>
              <w:jc w:val="center"/>
              <w:textAlignment w:val="center"/>
              <w:rPr>
                <w:rFonts w:hint="eastAsia" w:ascii="仿宋_GB2312" w:hAnsi="仿宋_GB2312" w:eastAsia="仿宋_GB2312" w:cs="仿宋_GB2312"/>
                <w:b/>
                <w:bCs/>
                <w:sz w:val="24"/>
                <w:szCs w:val="24"/>
                <w:lang w:eastAsia="zh-CN"/>
              </w:rPr>
            </w:pPr>
          </w:p>
        </w:tc>
        <w:tc>
          <w:tcPr>
            <w:tcW w:w="1414" w:type="dxa"/>
            <w:shd w:val="clear" w:color="auto" w:fill="auto"/>
            <w:vAlign w:val="center"/>
          </w:tcPr>
          <w:p w14:paraId="5D2FBACC">
            <w:pPr>
              <w:pStyle w:val="10"/>
              <w:widowControl w:val="0"/>
              <w:kinsoku/>
              <w:wordWrap w:val="0"/>
              <w:topLinePunct/>
              <w:autoSpaceDE/>
              <w:autoSpaceDN/>
              <w:adjustRightInd/>
              <w:snapToGrid/>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.3安全教育</w:t>
            </w:r>
          </w:p>
        </w:tc>
        <w:tc>
          <w:tcPr>
            <w:tcW w:w="11590" w:type="dxa"/>
            <w:shd w:val="clear" w:color="auto" w:fill="auto"/>
            <w:vAlign w:val="center"/>
          </w:tcPr>
          <w:p w14:paraId="2261008F">
            <w:pPr>
              <w:pStyle w:val="10"/>
              <w:widowControl w:val="0"/>
              <w:kinsoku/>
              <w:wordWrap w:val="0"/>
              <w:topLinePunct/>
              <w:autoSpaceDE/>
              <w:autoSpaceDN/>
              <w:jc w:val="both"/>
              <w:textAlignment w:val="center"/>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29.开展学生安全知识、劳动保护、劳动纪律教育，培养学生安全意识和安全素养；安全管理制度健全，运行和管理规范。</w:t>
            </w:r>
          </w:p>
        </w:tc>
      </w:tr>
    </w:tbl>
    <w:p w14:paraId="6D2ECBB2">
      <w:pPr>
        <w:spacing w:before="68" w:line="222" w:lineRule="auto"/>
      </w:pPr>
      <w:r>
        <w:rPr>
          <w:rFonts w:hint="eastAsia" w:ascii="黑体" w:hAnsi="黑体" w:eastAsia="黑体" w:cs="黑体"/>
          <w:b/>
          <w:bCs/>
        </w:rPr>
        <w:t>备</w:t>
      </w:r>
      <w:r>
        <w:rPr>
          <w:rFonts w:ascii="黑体" w:hAnsi="黑体" w:eastAsia="黑体" w:cs="黑体"/>
          <w:b/>
          <w:bCs/>
        </w:rPr>
        <w:t>注：</w:t>
      </w:r>
    </w:p>
    <w:p w14:paraId="6BE725AA">
      <w:pPr>
        <w:pStyle w:val="2"/>
        <w:widowControl w:val="0"/>
        <w:kinsoku/>
        <w:wordWrap w:val="0"/>
        <w:topLinePunct/>
        <w:autoSpaceDE/>
        <w:autoSpaceDN/>
        <w:adjustRightInd/>
        <w:snapToGrid/>
        <w:textAlignment w:val="center"/>
        <w:rPr>
          <w:rFonts w:hint="eastAsia" w:ascii="仿宋_GB2312" w:hAnsi="仿宋_GB2312" w:eastAsia="仿宋_GB2312" w:cs="仿宋_GB2312"/>
          <w:sz w:val="21"/>
          <w:szCs w:val="21"/>
          <w:lang w:eastAsia="zh-CN"/>
        </w:rPr>
      </w:pPr>
      <w:r>
        <w:rPr>
          <w:rFonts w:ascii="仿宋_GB2312" w:hAnsi="仿宋_GB2312" w:eastAsia="仿宋_GB2312" w:cs="仿宋_GB2312"/>
          <w:sz w:val="21"/>
          <w:szCs w:val="21"/>
          <w:lang w:eastAsia="zh-CN"/>
        </w:rPr>
        <w:t>1</w:t>
      </w:r>
      <w:r>
        <w:rPr>
          <w:rFonts w:hint="eastAsia" w:ascii="仿宋_GB2312" w:hAnsi="仿宋_GB2312" w:eastAsia="仿宋_GB2312" w:cs="仿宋_GB2312"/>
          <w:sz w:val="21"/>
          <w:szCs w:val="21"/>
          <w:lang w:eastAsia="zh-CN"/>
        </w:rPr>
        <w:t>依据高职学生在校学习年限确定。</w:t>
      </w:r>
    </w:p>
    <w:p w14:paraId="6B53AF0C">
      <w:pPr>
        <w:pStyle w:val="2"/>
        <w:widowControl w:val="0"/>
        <w:kinsoku/>
        <w:wordWrap w:val="0"/>
        <w:topLinePunct/>
        <w:autoSpaceDE/>
        <w:autoSpaceDN/>
        <w:adjustRightInd/>
        <w:snapToGrid/>
        <w:textAlignment w:val="center"/>
        <w:rPr>
          <w:rFonts w:hint="eastAsia" w:ascii="仿宋_GB2312" w:hAnsi="仿宋_GB2312" w:eastAsia="仿宋_GB2312" w:cs="仿宋_GB2312"/>
          <w:sz w:val="21"/>
          <w:szCs w:val="21"/>
          <w:lang w:eastAsia="zh-CN"/>
        </w:rPr>
      </w:pPr>
      <w:r>
        <w:rPr>
          <w:rFonts w:ascii="仿宋_GB2312" w:hAnsi="仿宋_GB2312" w:eastAsia="仿宋_GB2312" w:cs="仿宋_GB2312"/>
          <w:sz w:val="21"/>
          <w:szCs w:val="21"/>
          <w:lang w:eastAsia="zh-CN"/>
        </w:rPr>
        <w:t>2</w:t>
      </w:r>
      <w:r>
        <w:rPr>
          <w:rFonts w:hint="eastAsia" w:ascii="仿宋_GB2312" w:hAnsi="仿宋_GB2312" w:eastAsia="仿宋_GB2312" w:cs="仿宋_GB2312"/>
          <w:sz w:val="21"/>
          <w:szCs w:val="21"/>
          <w:lang w:eastAsia="zh-CN"/>
        </w:rPr>
        <w:t>教育部《关于职业院校专业人才培养方案制订与实施工作的指导意见》第四条：加强实践性教学，实践性教学学时原则上占总学时数</w:t>
      </w:r>
      <w:r>
        <w:rPr>
          <w:rFonts w:ascii="仿宋_GB2312" w:hAnsi="仿宋_GB2312" w:eastAsia="仿宋_GB2312" w:cs="仿宋_GB2312"/>
          <w:sz w:val="21"/>
          <w:szCs w:val="21"/>
          <w:lang w:eastAsia="zh-CN"/>
        </w:rPr>
        <w:t>50%</w:t>
      </w:r>
      <w:r>
        <w:rPr>
          <w:rFonts w:hint="eastAsia" w:ascii="仿宋_GB2312" w:hAnsi="仿宋_GB2312" w:eastAsia="仿宋_GB2312" w:cs="仿宋_GB2312"/>
          <w:sz w:val="21"/>
          <w:szCs w:val="21"/>
          <w:lang w:eastAsia="zh-CN"/>
        </w:rPr>
        <w:t>以上；学生顶岗实习时间一般为</w:t>
      </w:r>
      <w:r>
        <w:rPr>
          <w:rFonts w:ascii="仿宋_GB2312" w:hAnsi="仿宋_GB2312" w:eastAsia="仿宋_GB2312" w:cs="仿宋_GB2312"/>
          <w:sz w:val="21"/>
          <w:szCs w:val="21"/>
          <w:lang w:eastAsia="zh-CN"/>
        </w:rPr>
        <w:t>6</w:t>
      </w:r>
      <w:r>
        <w:rPr>
          <w:rFonts w:hint="eastAsia" w:ascii="仿宋_GB2312" w:hAnsi="仿宋_GB2312" w:eastAsia="仿宋_GB2312" w:cs="仿宋_GB2312"/>
          <w:sz w:val="21"/>
          <w:szCs w:val="21"/>
          <w:lang w:eastAsia="zh-CN"/>
        </w:rPr>
        <w:t>个月。</w:t>
      </w:r>
    </w:p>
    <w:p w14:paraId="10406BC6">
      <w:pPr>
        <w:pStyle w:val="2"/>
        <w:widowControl w:val="0"/>
        <w:kinsoku/>
        <w:wordWrap w:val="0"/>
        <w:topLinePunct/>
        <w:autoSpaceDE/>
        <w:autoSpaceDN/>
        <w:adjustRightInd/>
        <w:snapToGrid/>
        <w:textAlignment w:val="center"/>
        <w:rPr>
          <w:rFonts w:hint="eastAsia" w:ascii="仿宋_GB2312" w:hAnsi="仿宋_GB2312" w:eastAsia="仿宋_GB2312" w:cs="仿宋_GB2312"/>
          <w:sz w:val="21"/>
          <w:szCs w:val="21"/>
          <w:lang w:eastAsia="zh-CN"/>
        </w:rPr>
      </w:pPr>
      <w:r>
        <w:rPr>
          <w:rFonts w:ascii="仿宋_GB2312" w:hAnsi="仿宋_GB2312" w:eastAsia="仿宋_GB2312" w:cs="仿宋_GB2312"/>
          <w:sz w:val="21"/>
          <w:szCs w:val="21"/>
          <w:lang w:eastAsia="zh-CN"/>
        </w:rPr>
        <w:t>3</w:t>
      </w:r>
      <w:r>
        <w:rPr>
          <w:rFonts w:hint="eastAsia" w:ascii="仿宋_GB2312" w:hAnsi="仿宋_GB2312" w:eastAsia="仿宋_GB2312" w:cs="仿宋_GB2312"/>
          <w:sz w:val="21"/>
          <w:szCs w:val="21"/>
          <w:lang w:eastAsia="zh-CN"/>
        </w:rPr>
        <w:t>数据来源：全国高等职业学校人才培养工作状态数据采集与管理平台。</w:t>
      </w:r>
    </w:p>
    <w:p w14:paraId="6F6754B4">
      <w:pPr>
        <w:pStyle w:val="2"/>
        <w:widowControl w:val="0"/>
        <w:kinsoku/>
        <w:wordWrap w:val="0"/>
        <w:topLinePunct/>
        <w:autoSpaceDE/>
        <w:autoSpaceDN/>
        <w:adjustRightInd/>
        <w:snapToGrid/>
        <w:textAlignment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4教育部《关于职业院校专业人才培养方案制订与实施工作的指导意见》第三条：三年制高职总学时数不低于</w:t>
      </w:r>
      <w:r>
        <w:rPr>
          <w:rFonts w:ascii="仿宋_GB2312" w:hAnsi="仿宋_GB2312" w:eastAsia="仿宋_GB2312" w:cs="仿宋_GB2312"/>
          <w:sz w:val="21"/>
          <w:szCs w:val="21"/>
          <w:lang w:eastAsia="zh-CN"/>
        </w:rPr>
        <w:t>2500,</w:t>
      </w:r>
      <w:r>
        <w:rPr>
          <w:rFonts w:hint="eastAsia" w:ascii="仿宋_GB2312" w:hAnsi="仿宋_GB2312" w:eastAsia="仿宋_GB2312" w:cs="仿宋_GB2312"/>
          <w:sz w:val="21"/>
          <w:szCs w:val="21"/>
          <w:lang w:eastAsia="zh-CN"/>
        </w:rPr>
        <w:t>公共基础课程学时应当不少于总学时的</w:t>
      </w:r>
      <w:r>
        <w:rPr>
          <w:rFonts w:ascii="仿宋_GB2312" w:hAnsi="仿宋_GB2312" w:eastAsia="仿宋_GB2312" w:cs="仿宋_GB2312"/>
          <w:sz w:val="21"/>
          <w:szCs w:val="21"/>
          <w:lang w:eastAsia="zh-CN"/>
        </w:rPr>
        <w:t>1/4</w:t>
      </w:r>
      <w:r>
        <w:rPr>
          <w:rFonts w:hint="eastAsia" w:ascii="仿宋_GB2312" w:hAnsi="仿宋_GB2312" w:eastAsia="仿宋_GB2312" w:cs="仿宋_GB2312"/>
          <w:sz w:val="21"/>
          <w:szCs w:val="21"/>
          <w:lang w:eastAsia="zh-CN"/>
        </w:rPr>
        <w:t>。</w:t>
      </w:r>
    </w:p>
    <w:p w14:paraId="77433B34">
      <w:pPr>
        <w:pStyle w:val="2"/>
        <w:widowControl w:val="0"/>
        <w:kinsoku/>
        <w:wordWrap w:val="0"/>
        <w:topLinePunct/>
        <w:autoSpaceDE/>
        <w:autoSpaceDN/>
        <w:adjustRightInd/>
        <w:snapToGrid/>
        <w:textAlignment w:val="center"/>
        <w:rPr>
          <w:rFonts w:hint="eastAsia" w:ascii="仿宋_GB2312" w:hAnsi="仿宋_GB2312" w:eastAsia="仿宋_GB2312" w:cs="仿宋_GB2312"/>
          <w:w w:val="90"/>
          <w:sz w:val="21"/>
          <w:szCs w:val="21"/>
          <w:lang w:eastAsia="zh-CN"/>
        </w:rPr>
      </w:pPr>
      <w:r>
        <w:rPr>
          <w:rFonts w:hint="eastAsia" w:ascii="仿宋_GB2312" w:hAnsi="仿宋_GB2312" w:eastAsia="仿宋_GB2312" w:cs="仿宋_GB2312"/>
          <w:sz w:val="21"/>
          <w:szCs w:val="21"/>
          <w:lang w:eastAsia="zh-CN"/>
        </w:rPr>
        <w:t>5教育部《关于职业院校专业人才培养方案制订与实施工作的指导意见》第三条：高职选修课教学时数占总学时的比例均应当</w:t>
      </w:r>
      <w:r>
        <w:rPr>
          <w:rFonts w:hint="eastAsia" w:ascii="仿宋_GB2312" w:hAnsi="仿宋_GB2312" w:eastAsia="仿宋_GB2312" w:cs="仿宋_GB2312"/>
          <w:w w:val="90"/>
          <w:sz w:val="21"/>
          <w:szCs w:val="21"/>
          <w:lang w:eastAsia="zh-CN"/>
        </w:rPr>
        <w:t>不少于10%。</w:t>
      </w:r>
    </w:p>
    <w:p w14:paraId="415C448C">
      <w:pPr>
        <w:pStyle w:val="2"/>
        <w:widowControl w:val="0"/>
        <w:kinsoku/>
        <w:wordWrap w:val="0"/>
        <w:topLinePunct/>
        <w:autoSpaceDE/>
        <w:autoSpaceDN/>
        <w:adjustRightInd/>
        <w:snapToGrid/>
        <w:textAlignment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6教育部《新时代高等学校思想政治理论课教师队伍建设规定》第七条：高等学校应当根据全日制在校生总数，严格按照师生比不低于</w:t>
      </w:r>
      <w:r>
        <w:rPr>
          <w:rFonts w:ascii="仿宋_GB2312" w:hAnsi="仿宋_GB2312" w:eastAsia="仿宋_GB2312" w:cs="仿宋_GB2312"/>
          <w:sz w:val="21"/>
          <w:szCs w:val="21"/>
          <w:lang w:eastAsia="zh-CN"/>
        </w:rPr>
        <w:t>1:350</w:t>
      </w:r>
      <w:r>
        <w:rPr>
          <w:rFonts w:hint="eastAsia" w:ascii="仿宋_GB2312" w:hAnsi="仿宋_GB2312" w:eastAsia="仿宋_GB2312" w:cs="仿宋_GB2312"/>
          <w:sz w:val="21"/>
          <w:szCs w:val="21"/>
          <w:lang w:eastAsia="zh-CN"/>
        </w:rPr>
        <w:t>的比例核定专职思政课教师岗位。</w:t>
      </w:r>
    </w:p>
    <w:p w14:paraId="268AA673">
      <w:pPr>
        <w:pStyle w:val="2"/>
        <w:widowControl w:val="0"/>
        <w:kinsoku/>
        <w:wordWrap w:val="0"/>
        <w:topLinePunct/>
        <w:autoSpaceDE/>
        <w:autoSpaceDN/>
        <w:adjustRightInd/>
        <w:snapToGrid/>
        <w:textAlignment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7教育部《普通高等学校辅导员队伍建设规定》第六条：高等学校应当按总体上师生比不低于</w:t>
      </w:r>
      <w:r>
        <w:rPr>
          <w:rFonts w:ascii="仿宋_GB2312" w:hAnsi="仿宋_GB2312" w:eastAsia="仿宋_GB2312" w:cs="仿宋_GB2312"/>
          <w:sz w:val="21"/>
          <w:szCs w:val="21"/>
          <w:lang w:eastAsia="zh-CN"/>
        </w:rPr>
        <w:t>1:200</w:t>
      </w:r>
      <w:r>
        <w:rPr>
          <w:rFonts w:hint="eastAsia" w:ascii="仿宋_GB2312" w:hAnsi="仿宋_GB2312" w:eastAsia="仿宋_GB2312" w:cs="仿宋_GB2312"/>
          <w:sz w:val="21"/>
          <w:szCs w:val="21"/>
          <w:lang w:eastAsia="zh-CN"/>
        </w:rPr>
        <w:t>的比例设置专职辅导员岗位，按照专兼结合、以专为主的原则，足额配备到位。</w:t>
      </w:r>
    </w:p>
    <w:p w14:paraId="18DA942B">
      <w:pPr>
        <w:pStyle w:val="2"/>
        <w:widowControl w:val="0"/>
        <w:kinsoku/>
        <w:wordWrap w:val="0"/>
        <w:topLinePunct/>
        <w:autoSpaceDE/>
        <w:autoSpaceDN/>
        <w:adjustRightInd/>
        <w:snapToGrid/>
        <w:textAlignment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8教育部等</w:t>
      </w:r>
      <w:r>
        <w:rPr>
          <w:rFonts w:ascii="仿宋_GB2312" w:hAnsi="仿宋_GB2312" w:eastAsia="仿宋_GB2312" w:cs="仿宋_GB2312"/>
          <w:sz w:val="21"/>
          <w:szCs w:val="21"/>
          <w:lang w:eastAsia="zh-CN"/>
        </w:rPr>
        <w:t>16</w:t>
      </w:r>
      <w:r>
        <w:rPr>
          <w:rFonts w:hint="eastAsia" w:ascii="仿宋_GB2312" w:hAnsi="仿宋_GB2312" w:eastAsia="仿宋_GB2312" w:cs="仿宋_GB2312"/>
          <w:sz w:val="21"/>
          <w:szCs w:val="21"/>
          <w:lang w:eastAsia="zh-CN"/>
        </w:rPr>
        <w:t>部委《全面加强和改进新时代学生心理健康工作专项行动计划</w:t>
      </w:r>
      <w:r>
        <w:rPr>
          <w:rFonts w:ascii="仿宋_GB2312" w:hAnsi="仿宋_GB2312" w:eastAsia="仿宋_GB2312" w:cs="仿宋_GB2312"/>
          <w:sz w:val="21"/>
          <w:szCs w:val="21"/>
          <w:lang w:eastAsia="zh-CN"/>
        </w:rPr>
        <w:t>（2023-2025</w:t>
      </w:r>
      <w:r>
        <w:rPr>
          <w:rFonts w:hint="eastAsia" w:ascii="仿宋_GB2312" w:hAnsi="仿宋_GB2312" w:eastAsia="仿宋_GB2312" w:cs="仿宋_GB2312"/>
          <w:sz w:val="21"/>
          <w:szCs w:val="21"/>
          <w:lang w:eastAsia="zh-CN"/>
        </w:rPr>
        <w:t>年</w:t>
      </w:r>
      <w:r>
        <w:rPr>
          <w:rFonts w:ascii="仿宋_GB2312" w:hAnsi="仿宋_GB2312" w:eastAsia="仿宋_GB2312" w:cs="仿宋_GB2312"/>
          <w:sz w:val="21"/>
          <w:szCs w:val="21"/>
          <w:lang w:eastAsia="zh-CN"/>
        </w:rPr>
        <w:t>）</w:t>
      </w:r>
      <w:r>
        <w:rPr>
          <w:rFonts w:hint="eastAsia" w:ascii="仿宋_GB2312" w:hAnsi="仿宋_GB2312" w:eastAsia="仿宋_GB2312" w:cs="仿宋_GB2312"/>
          <w:sz w:val="21"/>
          <w:szCs w:val="21"/>
          <w:lang w:eastAsia="zh-CN"/>
        </w:rPr>
        <w:t>》第十四条：高校按师生比例不低于</w:t>
      </w:r>
      <w:r>
        <w:rPr>
          <w:rFonts w:ascii="仿宋_GB2312" w:hAnsi="仿宋_GB2312" w:eastAsia="仿宋_GB2312" w:cs="仿宋_GB2312"/>
          <w:sz w:val="21"/>
          <w:szCs w:val="21"/>
          <w:lang w:eastAsia="zh-CN"/>
        </w:rPr>
        <w:t>1:4000</w:t>
      </w:r>
      <w:r>
        <w:rPr>
          <w:rFonts w:hint="eastAsia" w:ascii="仿宋_GB2312" w:hAnsi="仿宋_GB2312" w:eastAsia="仿宋_GB2312" w:cs="仿宋_GB2312"/>
          <w:sz w:val="21"/>
          <w:szCs w:val="21"/>
          <w:lang w:eastAsia="zh-CN"/>
        </w:rPr>
        <w:t>配备专职心理健康教育教师，且每校至少配备</w:t>
      </w:r>
      <w:r>
        <w:rPr>
          <w:rFonts w:ascii="仿宋_GB2312" w:hAnsi="仿宋_GB2312" w:eastAsia="仿宋_GB2312" w:cs="仿宋_GB2312"/>
          <w:sz w:val="21"/>
          <w:szCs w:val="21"/>
          <w:lang w:eastAsia="zh-CN"/>
        </w:rPr>
        <w:t>2</w:t>
      </w:r>
      <w:r>
        <w:rPr>
          <w:rFonts w:hint="eastAsia" w:ascii="仿宋_GB2312" w:hAnsi="仿宋_GB2312" w:eastAsia="仿宋_GB2312" w:cs="仿宋_GB2312"/>
          <w:sz w:val="21"/>
          <w:szCs w:val="21"/>
          <w:lang w:eastAsia="zh-CN"/>
        </w:rPr>
        <w:t>名。</w:t>
      </w:r>
    </w:p>
    <w:p w14:paraId="4889AEDC">
      <w:pPr>
        <w:pStyle w:val="2"/>
        <w:widowControl w:val="0"/>
        <w:kinsoku/>
        <w:wordWrap w:val="0"/>
        <w:topLinePunct/>
        <w:autoSpaceDE/>
        <w:autoSpaceDN/>
        <w:adjustRightInd/>
        <w:snapToGrid/>
        <w:textAlignment w:val="center"/>
        <w:rPr>
          <w:rFonts w:hint="eastAsia" w:ascii="仿宋_GB2312" w:hAnsi="仿宋_GB2312" w:eastAsia="仿宋_GB2312" w:cs="仿宋_GB2312"/>
          <w:sz w:val="21"/>
          <w:szCs w:val="21"/>
          <w:lang w:eastAsia="zh-CN"/>
        </w:rPr>
      </w:pPr>
      <w:r>
        <w:rPr>
          <w:rFonts w:ascii="仿宋_GB2312" w:hAnsi="仿宋_GB2312" w:eastAsia="仿宋_GB2312" w:cs="仿宋_GB2312"/>
          <w:sz w:val="21"/>
          <w:szCs w:val="21"/>
          <w:lang w:eastAsia="zh-CN"/>
        </w:rPr>
        <w:t>9</w:t>
      </w:r>
      <w:r>
        <w:rPr>
          <w:rFonts w:hint="eastAsia" w:ascii="仿宋_GB2312" w:hAnsi="仿宋_GB2312" w:eastAsia="仿宋_GB2312" w:cs="仿宋_GB2312"/>
          <w:sz w:val="21"/>
          <w:szCs w:val="21"/>
          <w:lang w:eastAsia="zh-CN"/>
        </w:rPr>
        <w:t>教育部《普通高等学校基本办学条件指标（试行）》中关于高职（专科）生师比“合格”标准的规定。</w:t>
      </w:r>
    </w:p>
    <w:p w14:paraId="00019CFC">
      <w:pPr>
        <w:pStyle w:val="2"/>
        <w:widowControl w:val="0"/>
        <w:kinsoku/>
        <w:wordWrap w:val="0"/>
        <w:topLinePunct/>
        <w:autoSpaceDE/>
        <w:autoSpaceDN/>
        <w:adjustRightInd/>
        <w:snapToGrid/>
        <w:textAlignment w:val="center"/>
        <w:rPr>
          <w:rFonts w:hint="eastAsia" w:ascii="仿宋_GB2312" w:hAnsi="仿宋_GB2312" w:eastAsia="仿宋_GB2312" w:cs="仿宋_GB2312"/>
          <w:sz w:val="21"/>
          <w:szCs w:val="21"/>
          <w:lang w:eastAsia="zh-CN"/>
        </w:rPr>
      </w:pPr>
      <w:r>
        <w:rPr>
          <w:rFonts w:ascii="仿宋_GB2312" w:hAnsi="仿宋_GB2312" w:eastAsia="仿宋_GB2312" w:cs="仿宋_GB2312"/>
          <w:sz w:val="21"/>
          <w:szCs w:val="21"/>
          <w:lang w:eastAsia="zh-CN"/>
        </w:rPr>
        <w:t>10</w:t>
      </w:r>
      <w:r>
        <w:rPr>
          <w:rFonts w:hint="eastAsia" w:ascii="仿宋_GB2312" w:hAnsi="仿宋_GB2312" w:eastAsia="仿宋_GB2312" w:cs="仿宋_GB2312"/>
          <w:sz w:val="21"/>
          <w:szCs w:val="21"/>
          <w:lang w:eastAsia="zh-CN"/>
        </w:rPr>
        <w:t>国务院《国家职业教育改革实施方案》具体指标：“双师型”教师（同时具备理论教学和实践教学能力的教师）占专业教师总数超过一半。其中，“双师型”教师为符合《教育部办公厅关于做好职业教育“双师型”教师认定工作的通知》</w:t>
      </w:r>
      <w:r>
        <w:rPr>
          <w:rFonts w:ascii="仿宋_GB2312" w:hAnsi="仿宋_GB2312" w:eastAsia="仿宋_GB2312" w:cs="仿宋_GB2312"/>
          <w:sz w:val="21"/>
          <w:szCs w:val="21"/>
          <w:lang w:eastAsia="zh-CN"/>
        </w:rPr>
        <w:t>（</w:t>
      </w:r>
      <w:r>
        <w:rPr>
          <w:rFonts w:hint="eastAsia" w:ascii="仿宋_GB2312" w:hAnsi="仿宋_GB2312" w:eastAsia="仿宋_GB2312" w:cs="仿宋_GB2312"/>
          <w:sz w:val="21"/>
          <w:szCs w:val="21"/>
          <w:lang w:eastAsia="zh-CN"/>
        </w:rPr>
        <w:t>教师厅〔</w:t>
      </w:r>
      <w:r>
        <w:rPr>
          <w:rFonts w:ascii="仿宋_GB2312" w:hAnsi="仿宋_GB2312" w:eastAsia="仿宋_GB2312" w:cs="仿宋_GB2312"/>
          <w:sz w:val="21"/>
          <w:szCs w:val="21"/>
          <w:lang w:eastAsia="zh-CN"/>
        </w:rPr>
        <w:t>2022</w:t>
      </w:r>
      <w:r>
        <w:rPr>
          <w:rFonts w:hint="eastAsia" w:ascii="仿宋_GB2312" w:hAnsi="仿宋_GB2312" w:eastAsia="仿宋_GB2312" w:cs="仿宋_GB2312"/>
          <w:sz w:val="21"/>
          <w:szCs w:val="21"/>
          <w:lang w:eastAsia="zh-CN"/>
        </w:rPr>
        <w:t>〕</w:t>
      </w:r>
      <w:r>
        <w:rPr>
          <w:rFonts w:ascii="仿宋_GB2312" w:hAnsi="仿宋_GB2312" w:eastAsia="仿宋_GB2312" w:cs="仿宋_GB2312"/>
          <w:sz w:val="21"/>
          <w:szCs w:val="21"/>
          <w:lang w:eastAsia="zh-CN"/>
        </w:rPr>
        <w:t>2</w:t>
      </w:r>
      <w:r>
        <w:rPr>
          <w:rFonts w:hint="eastAsia" w:ascii="仿宋_GB2312" w:hAnsi="仿宋_GB2312" w:eastAsia="仿宋_GB2312" w:cs="仿宋_GB2312"/>
          <w:sz w:val="21"/>
          <w:szCs w:val="21"/>
          <w:lang w:eastAsia="zh-CN"/>
        </w:rPr>
        <w:t>号</w:t>
      </w:r>
      <w:r>
        <w:rPr>
          <w:rFonts w:ascii="仿宋_GB2312" w:hAnsi="仿宋_GB2312" w:eastAsia="仿宋_GB2312" w:cs="仿宋_GB2312"/>
          <w:sz w:val="21"/>
          <w:szCs w:val="21"/>
          <w:lang w:eastAsia="zh-CN"/>
        </w:rPr>
        <w:t>）</w:t>
      </w:r>
      <w:r>
        <w:rPr>
          <w:rFonts w:hint="eastAsia" w:ascii="仿宋_GB2312" w:hAnsi="仿宋_GB2312" w:eastAsia="仿宋_GB2312" w:cs="仿宋_GB2312"/>
          <w:sz w:val="21"/>
          <w:szCs w:val="21"/>
          <w:lang w:eastAsia="zh-CN"/>
        </w:rPr>
        <w:t>认定要求的教师。</w:t>
      </w:r>
    </w:p>
    <w:p w14:paraId="6EF70194">
      <w:pPr>
        <w:pStyle w:val="2"/>
        <w:widowControl w:val="0"/>
        <w:kinsoku/>
        <w:wordWrap w:val="0"/>
        <w:topLinePunct/>
        <w:autoSpaceDE/>
        <w:autoSpaceDN/>
        <w:adjustRightInd/>
        <w:snapToGrid/>
        <w:textAlignment w:val="center"/>
        <w:rPr>
          <w:rFonts w:hint="eastAsia" w:ascii="仿宋_GB2312" w:hAnsi="仿宋_GB2312" w:eastAsia="仿宋_GB2312" w:cs="仿宋_GB2312"/>
          <w:sz w:val="21"/>
          <w:szCs w:val="21"/>
          <w:lang w:eastAsia="zh-CN"/>
        </w:rPr>
      </w:pPr>
      <w:r>
        <w:rPr>
          <w:rFonts w:ascii="仿宋_GB2312" w:hAnsi="仿宋_GB2312" w:eastAsia="仿宋_GB2312" w:cs="仿宋_GB2312"/>
          <w:sz w:val="21"/>
          <w:szCs w:val="21"/>
          <w:lang w:eastAsia="zh-CN"/>
        </w:rPr>
        <w:t>11</w:t>
      </w:r>
      <w:r>
        <w:rPr>
          <w:rFonts w:hint="eastAsia" w:ascii="仿宋_GB2312" w:hAnsi="仿宋_GB2312" w:eastAsia="仿宋_GB2312" w:cs="仿宋_GB2312"/>
          <w:sz w:val="21"/>
          <w:szCs w:val="21"/>
          <w:lang w:eastAsia="zh-CN"/>
        </w:rPr>
        <w:t>教育部等四部门关于印发《职业学校兼职教师管理办法》的通知第四条：兼职教师占职业学校专兼职教师总数的比例一般不超过</w:t>
      </w:r>
      <w:r>
        <w:rPr>
          <w:rFonts w:ascii="仿宋_GB2312" w:hAnsi="仿宋_GB2312" w:eastAsia="仿宋_GB2312" w:cs="仿宋_GB2312"/>
          <w:sz w:val="21"/>
          <w:szCs w:val="21"/>
          <w:lang w:eastAsia="zh-CN"/>
        </w:rPr>
        <w:t>30%</w:t>
      </w:r>
      <w:r>
        <w:rPr>
          <w:rFonts w:hint="eastAsia" w:ascii="仿宋_GB2312" w:hAnsi="仿宋_GB2312" w:eastAsia="仿宋_GB2312" w:cs="仿宋_GB2312"/>
          <w:sz w:val="21"/>
          <w:szCs w:val="21"/>
          <w:lang w:eastAsia="zh-CN"/>
        </w:rPr>
        <w:t>。</w:t>
      </w:r>
    </w:p>
    <w:p w14:paraId="7703A027">
      <w:pPr>
        <w:pStyle w:val="2"/>
        <w:widowControl w:val="0"/>
        <w:kinsoku/>
        <w:wordWrap w:val="0"/>
        <w:topLinePunct/>
        <w:autoSpaceDE/>
        <w:autoSpaceDN/>
        <w:adjustRightInd/>
        <w:snapToGrid/>
        <w:textAlignment w:val="center"/>
        <w:rPr>
          <w:rFonts w:hint="eastAsia" w:ascii="仿宋_GB2312" w:hAnsi="仿宋_GB2312" w:eastAsia="仿宋_GB2312" w:cs="仿宋_GB2312"/>
          <w:sz w:val="21"/>
          <w:szCs w:val="21"/>
          <w:lang w:eastAsia="zh-CN"/>
        </w:rPr>
      </w:pPr>
      <w:r>
        <w:rPr>
          <w:rFonts w:ascii="仿宋_GB2312" w:hAnsi="仿宋_GB2312" w:eastAsia="仿宋_GB2312" w:cs="仿宋_GB2312"/>
          <w:sz w:val="21"/>
          <w:szCs w:val="21"/>
          <w:lang w:eastAsia="zh-CN"/>
        </w:rPr>
        <w:t>12</w:t>
      </w:r>
      <w:r>
        <w:rPr>
          <w:rFonts w:hint="eastAsia" w:ascii="仿宋_GB2312" w:hAnsi="仿宋_GB2312" w:eastAsia="仿宋_GB2312" w:cs="仿宋_GB2312"/>
          <w:sz w:val="21"/>
          <w:szCs w:val="21"/>
          <w:lang w:eastAsia="zh-CN"/>
        </w:rPr>
        <w:t>国务院《国家职业教育改革实施方案》第十二条：实施职业院校教师素质提高计划，建立</w:t>
      </w:r>
      <w:r>
        <w:rPr>
          <w:rFonts w:ascii="仿宋_GB2312" w:hAnsi="仿宋_GB2312" w:eastAsia="仿宋_GB2312" w:cs="仿宋_GB2312"/>
          <w:sz w:val="21"/>
          <w:szCs w:val="21"/>
          <w:lang w:eastAsia="zh-CN"/>
        </w:rPr>
        <w:t>100</w:t>
      </w:r>
      <w:r>
        <w:rPr>
          <w:rFonts w:hint="eastAsia" w:ascii="仿宋_GB2312" w:hAnsi="仿宋_GB2312" w:eastAsia="仿宋_GB2312" w:cs="仿宋_GB2312"/>
          <w:sz w:val="21"/>
          <w:szCs w:val="21"/>
          <w:lang w:eastAsia="zh-CN"/>
        </w:rPr>
        <w:t>个“双师型”教师培养培训基地，职业院校、应用型本科高校教师每年至少</w:t>
      </w:r>
      <w:r>
        <w:rPr>
          <w:rFonts w:ascii="仿宋_GB2312" w:hAnsi="仿宋_GB2312" w:eastAsia="仿宋_GB2312" w:cs="仿宋_GB2312"/>
          <w:sz w:val="21"/>
          <w:szCs w:val="21"/>
          <w:lang w:eastAsia="zh-CN"/>
        </w:rPr>
        <w:t>1</w:t>
      </w:r>
      <w:r>
        <w:rPr>
          <w:rFonts w:hint="eastAsia" w:ascii="仿宋_GB2312" w:hAnsi="仿宋_GB2312" w:eastAsia="仿宋_GB2312" w:cs="仿宋_GB2312"/>
          <w:sz w:val="21"/>
          <w:szCs w:val="21"/>
          <w:lang w:eastAsia="zh-CN"/>
        </w:rPr>
        <w:t>个月在企业或实训基地实训，落实教师</w:t>
      </w:r>
      <w:r>
        <w:rPr>
          <w:rFonts w:ascii="仿宋_GB2312" w:hAnsi="仿宋_GB2312" w:eastAsia="仿宋_GB2312" w:cs="仿宋_GB2312"/>
          <w:sz w:val="21"/>
          <w:szCs w:val="21"/>
          <w:lang w:eastAsia="zh-CN"/>
        </w:rPr>
        <w:t>5</w:t>
      </w:r>
      <w:r>
        <w:rPr>
          <w:rFonts w:hint="eastAsia" w:ascii="仿宋_GB2312" w:hAnsi="仿宋_GB2312" w:eastAsia="仿宋_GB2312" w:cs="仿宋_GB2312"/>
          <w:sz w:val="21"/>
          <w:szCs w:val="21"/>
          <w:lang w:eastAsia="zh-CN"/>
        </w:rPr>
        <w:t>年一周期的全员轮训制度。</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A6BEC6-0267-4D0A-9552-2304896B86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D8AA4E31-76F1-43DB-8B6B-8B86586F0F07}"/>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02F53503-7368-45BB-903A-E6C1907C9572}"/>
  </w:font>
  <w:font w:name="仿宋_GB2312">
    <w:altName w:val="仿宋"/>
    <w:panose1 w:val="02010609030101010101"/>
    <w:charset w:val="86"/>
    <w:family w:val="modern"/>
    <w:pitch w:val="default"/>
    <w:sig w:usb0="00000000" w:usb1="00000000" w:usb2="00000000" w:usb3="00000000" w:csb0="00040000" w:csb1="00000000"/>
    <w:embedRegular r:id="rId4" w:fontKey="{D260D065-01FE-481D-8816-2FD87D339F6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63"/>
    <w:rsid w:val="000A25E0"/>
    <w:rsid w:val="000C52E2"/>
    <w:rsid w:val="003146AF"/>
    <w:rsid w:val="00382EBB"/>
    <w:rsid w:val="0056234B"/>
    <w:rsid w:val="00597D5A"/>
    <w:rsid w:val="00734ECD"/>
    <w:rsid w:val="00736DA2"/>
    <w:rsid w:val="007845BD"/>
    <w:rsid w:val="0085313A"/>
    <w:rsid w:val="008A4304"/>
    <w:rsid w:val="00A54EF9"/>
    <w:rsid w:val="00B14B7F"/>
    <w:rsid w:val="00C03943"/>
    <w:rsid w:val="00C15DDD"/>
    <w:rsid w:val="00D071DE"/>
    <w:rsid w:val="00DA1663"/>
    <w:rsid w:val="00DD43C6"/>
    <w:rsid w:val="08A35708"/>
    <w:rsid w:val="095E2BEC"/>
    <w:rsid w:val="175831A9"/>
    <w:rsid w:val="1881137E"/>
    <w:rsid w:val="1E452476"/>
    <w:rsid w:val="227048C2"/>
    <w:rsid w:val="23385600"/>
    <w:rsid w:val="340F5BCB"/>
    <w:rsid w:val="37067BDC"/>
    <w:rsid w:val="40233C36"/>
    <w:rsid w:val="47F723B3"/>
    <w:rsid w:val="48F6334D"/>
    <w:rsid w:val="51CB5C0F"/>
    <w:rsid w:val="65120EC2"/>
    <w:rsid w:val="65EB6376"/>
    <w:rsid w:val="72FB7FF6"/>
    <w:rsid w:val="77B36977"/>
    <w:rsid w:val="7DFF56E3"/>
    <w:rsid w:val="7F3B9702"/>
    <w:rsid w:val="7F4FD592"/>
    <w:rsid w:val="7FF3A301"/>
    <w:rsid w:val="7FF78F9A"/>
    <w:rsid w:val="A2B6DEFD"/>
    <w:rsid w:val="B7FF1FB3"/>
    <w:rsid w:val="BFA631D2"/>
    <w:rsid w:val="CFFE9DEB"/>
    <w:rsid w:val="DFFFF3F1"/>
    <w:rsid w:val="F1DC98E3"/>
    <w:rsid w:val="F37BC6FC"/>
    <w:rsid w:val="FBCF41AC"/>
    <w:rsid w:val="FF5BFB4A"/>
    <w:rsid w:val="FFF7A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semiHidden/>
    <w:qFormat/>
    <w:uiPriority w:val="0"/>
    <w:rPr>
      <w:rFonts w:ascii="仿宋" w:hAnsi="仿宋" w:eastAsia="仿宋" w:cs="仿宋"/>
      <w:sz w:val="35"/>
      <w:szCs w:val="35"/>
      <w:lang w:eastAsia="en-US"/>
    </w:rPr>
  </w:style>
  <w:style w:type="paragraph" w:styleId="3">
    <w:name w:val="footer"/>
    <w:basedOn w:val="1"/>
    <w:link w:val="8"/>
    <w:unhideWhenUsed/>
    <w:qFormat/>
    <w:uiPriority w:val="99"/>
    <w:pPr>
      <w:widowControl w:val="0"/>
      <w:tabs>
        <w:tab w:val="center" w:pos="4153"/>
        <w:tab w:val="right" w:pos="8306"/>
      </w:tabs>
      <w:kinsoku/>
      <w:autoSpaceDE/>
      <w:autoSpaceDN/>
      <w:adjustRightInd/>
      <w:textAlignment w:val="auto"/>
    </w:pPr>
    <w:rPr>
      <w:rFonts w:asciiTheme="minorHAnsi" w:hAnsiTheme="minorHAnsi" w:eastAsiaTheme="minorEastAsia" w:cstheme="minorBidi"/>
      <w:snapToGrid/>
      <w:color w:val="auto"/>
      <w:kern w:val="2"/>
      <w:sz w:val="18"/>
      <w:szCs w:val="18"/>
    </w:rPr>
  </w:style>
  <w:style w:type="paragraph" w:styleId="4">
    <w:name w:val="header"/>
    <w:basedOn w:val="1"/>
    <w:link w:val="7"/>
    <w:unhideWhenUsed/>
    <w:qFormat/>
    <w:uiPriority w:val="99"/>
    <w:pPr>
      <w:widowControl w:val="0"/>
      <w:tabs>
        <w:tab w:val="center" w:pos="4153"/>
        <w:tab w:val="right" w:pos="8306"/>
      </w:tabs>
      <w:kinsoku/>
      <w:autoSpaceDE/>
      <w:autoSpaceDN/>
      <w:adjustRightInd/>
      <w:jc w:val="center"/>
      <w:textAlignment w:val="auto"/>
    </w:pPr>
    <w:rPr>
      <w:rFonts w:asciiTheme="minorHAnsi" w:hAnsiTheme="minorHAnsi" w:eastAsiaTheme="minorEastAsia" w:cstheme="minorBidi"/>
      <w:snapToGrid/>
      <w:color w:val="auto"/>
      <w:kern w:val="2"/>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table" w:customStyle="1" w:styleId="9">
    <w:name w:val="Table Normal"/>
    <w:unhideWhenUsed/>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10">
    <w:name w:val="Table Text"/>
    <w:basedOn w:val="1"/>
    <w:semiHidden/>
    <w:qFormat/>
    <w:uiPriority w:val="0"/>
    <w:rPr>
      <w:rFonts w:ascii="仿宋" w:hAnsi="仿宋" w:eastAsia="仿宋" w:cs="仿宋"/>
      <w:sz w:val="24"/>
      <w:szCs w:val="24"/>
      <w:lang w:eastAsia="en-US"/>
    </w:rPr>
  </w:style>
  <w:style w:type="character" w:customStyle="1" w:styleId="11">
    <w:name w:val="正文文本 字符"/>
    <w:basedOn w:val="6"/>
    <w:link w:val="2"/>
    <w:semiHidden/>
    <w:qFormat/>
    <w:uiPriority w:val="0"/>
    <w:rPr>
      <w:rFonts w:ascii="仿宋" w:hAnsi="仿宋" w:eastAsia="仿宋" w:cs="仿宋"/>
      <w:snapToGrid w:val="0"/>
      <w:color w:val="000000"/>
      <w:kern w:val="0"/>
      <w:sz w:val="35"/>
      <w:szCs w:val="35"/>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3484</Words>
  <Characters>3661</Characters>
  <Lines>34</Lines>
  <Paragraphs>9</Paragraphs>
  <TotalTime>326</TotalTime>
  <ScaleCrop>false</ScaleCrop>
  <LinksUpToDate>false</LinksUpToDate>
  <CharactersWithSpaces>3662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2024-10-27T11:14:00Z</dcterms:created>
  <dc:creator>林 高</dc:creator>
  <cp:lastModifiedBy>文彤</cp:lastModifiedBy>
  <cp:lastPrinted>2025-04-23T22:40:00Z</cp:lastPrinted>
  <dcterms:modified xsi:type="dcterms:W3CDTF">2026-04-28T23:52:51Z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eyJoZGlkIjoiNDUwMTFkMDI3ZjBmZjczM2Q3M2EwOGI5M2VjYzUzMDkiLCJ1c2VySWQiOiIzMjcxMzA4ODIifQ==</vt:lpwstr>
  </property>
  <property fmtid="{D5CDD505-2E9C-101B-9397-08002B2CF9AE}" pid="3" name="KSOProductBuildVer">
    <vt:lpwstr>2052-12.1.0.21915</vt:lpwstr>
  </property>
  <property fmtid="{D5CDD505-2E9C-101B-9397-08002B2CF9AE}" pid="4" name="ICV">
    <vt:lpwstr>943CECA37FCD4A4EBA57D63FD5777594_12</vt:lpwstr>
  </property>
</Properties>
</file>