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01" w:line="224" w:lineRule="auto"/>
        <w:rPr>
          <w:rFonts w:ascii="Arial"/>
          <w:sz w:val="21"/>
        </w:rPr>
      </w:pPr>
      <w:r>
        <w:rPr>
          <w:rFonts w:hint="eastAsia" w:ascii="黑体" w:hAnsi="黑体" w:eastAsia="黑体" w:cs="黑体"/>
          <w:b w:val="0"/>
          <w:bCs w:val="0"/>
          <w:spacing w:val="28"/>
          <w:sz w:val="32"/>
          <w:szCs w:val="32"/>
        </w:rPr>
        <w:t>附件</w:t>
      </w:r>
      <w:r>
        <w:rPr>
          <w:rFonts w:hint="eastAsia" w:ascii="黑体" w:hAnsi="黑体" w:eastAsia="黑体" w:cs="黑体"/>
          <w:b w:val="0"/>
          <w:bCs w:val="0"/>
          <w:spacing w:val="28"/>
          <w:sz w:val="32"/>
          <w:szCs w:val="32"/>
          <w:lang w:val="en-US" w:eastAsia="zh-CN"/>
        </w:rPr>
        <w:t>2</w:t>
      </w:r>
    </w:p>
    <w:p>
      <w:pPr>
        <w:spacing w:before="104" w:line="221" w:lineRule="auto"/>
        <w:jc w:val="center"/>
        <w:outlineLvl w:val="6"/>
        <w:rPr>
          <w:sz w:val="44"/>
          <w:szCs w:val="44"/>
        </w:rPr>
      </w:pPr>
      <w:r>
        <w:rPr>
          <w:rFonts w:hint="eastAsia" w:ascii="方正小标宋简体" w:hAnsi="方正小标宋简体" w:eastAsia="方正小标宋简体" w:cs="方正小标宋简体"/>
          <w:b w:val="0"/>
          <w:bCs w:val="0"/>
          <w:spacing w:val="-18"/>
          <w:sz w:val="44"/>
          <w:szCs w:val="44"/>
          <w:lang w:eastAsia="zh-CN"/>
        </w:rPr>
        <w:t>黑龙江省</w:t>
      </w:r>
      <w:r>
        <w:rPr>
          <w:rFonts w:hint="eastAsia" w:ascii="方正小标宋简体" w:hAnsi="方正小标宋简体" w:eastAsia="方正小标宋简体" w:cs="方正小标宋简体"/>
          <w:b w:val="0"/>
          <w:bCs w:val="0"/>
          <w:spacing w:val="-18"/>
          <w:sz w:val="44"/>
          <w:szCs w:val="44"/>
        </w:rPr>
        <w:t>高等职业学校办学条件监测指标</w:t>
      </w:r>
      <w:r>
        <w:rPr>
          <w:rFonts w:hint="eastAsia" w:ascii="方正小标宋简体" w:hAnsi="方正小标宋简体" w:eastAsia="方正小标宋简体" w:cs="方正小标宋简体"/>
          <w:b w:val="0"/>
          <w:bCs w:val="0"/>
          <w:spacing w:val="-18"/>
          <w:sz w:val="44"/>
          <w:szCs w:val="44"/>
          <w:lang w:eastAsia="zh-CN"/>
        </w:rPr>
        <w:t>（试行）</w:t>
      </w:r>
    </w:p>
    <w:tbl>
      <w:tblPr>
        <w:tblStyle w:val="7"/>
        <w:tblW w:w="128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4"/>
        <w:gridCol w:w="2878"/>
        <w:gridCol w:w="5333"/>
        <w:gridCol w:w="1543"/>
        <w:gridCol w:w="17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334" w:type="dxa"/>
            <w:vAlign w:val="top"/>
          </w:tcPr>
          <w:p>
            <w:pPr>
              <w:pStyle w:val="8"/>
              <w:spacing w:before="123" w:line="220" w:lineRule="auto"/>
              <w:ind w:left="99"/>
              <w:rPr>
                <w:rFonts w:hint="eastAsia" w:ascii="黑体" w:hAnsi="黑体" w:eastAsia="黑体" w:cs="黑体"/>
                <w:b w:val="0"/>
                <w:bCs w:val="0"/>
              </w:rPr>
            </w:pPr>
            <w:r>
              <w:rPr>
                <w:rFonts w:hint="eastAsia" w:ascii="黑体" w:hAnsi="黑体" w:eastAsia="黑体" w:cs="黑体"/>
                <w:b w:val="0"/>
                <w:bCs w:val="0"/>
                <w:spacing w:val="-7"/>
              </w:rPr>
              <w:t>一级指标</w:t>
            </w:r>
          </w:p>
        </w:tc>
        <w:tc>
          <w:tcPr>
            <w:tcW w:w="2878" w:type="dxa"/>
            <w:vAlign w:val="top"/>
          </w:tcPr>
          <w:p>
            <w:pPr>
              <w:pStyle w:val="8"/>
              <w:spacing w:before="123" w:line="220" w:lineRule="auto"/>
              <w:ind w:left="875"/>
              <w:rPr>
                <w:rFonts w:hint="eastAsia" w:ascii="黑体" w:hAnsi="黑体" w:eastAsia="黑体" w:cs="黑体"/>
                <w:b w:val="0"/>
                <w:bCs w:val="0"/>
              </w:rPr>
            </w:pPr>
            <w:r>
              <w:rPr>
                <w:rFonts w:hint="eastAsia" w:ascii="黑体" w:hAnsi="黑体" w:eastAsia="黑体" w:cs="黑体"/>
                <w:b w:val="0"/>
                <w:bCs w:val="0"/>
                <w:spacing w:val="-6"/>
              </w:rPr>
              <w:t>二级指标</w:t>
            </w:r>
          </w:p>
        </w:tc>
        <w:tc>
          <w:tcPr>
            <w:tcW w:w="5333" w:type="dxa"/>
            <w:vAlign w:val="top"/>
          </w:tcPr>
          <w:p>
            <w:pPr>
              <w:pStyle w:val="8"/>
              <w:spacing w:before="128" w:line="221" w:lineRule="auto"/>
              <w:ind w:left="2372"/>
              <w:rPr>
                <w:rFonts w:hint="eastAsia" w:ascii="黑体" w:hAnsi="黑体" w:eastAsia="黑体" w:cs="黑体"/>
                <w:b w:val="0"/>
                <w:bCs w:val="0"/>
              </w:rPr>
            </w:pPr>
            <w:r>
              <w:rPr>
                <w:rFonts w:hint="eastAsia" w:ascii="黑体" w:hAnsi="黑体" w:eastAsia="黑体" w:cs="黑体"/>
                <w:b w:val="0"/>
                <w:bCs w:val="0"/>
                <w:spacing w:val="8"/>
              </w:rPr>
              <w:t>监测点</w:t>
            </w:r>
          </w:p>
        </w:tc>
        <w:tc>
          <w:tcPr>
            <w:tcW w:w="1543" w:type="dxa"/>
            <w:vAlign w:val="top"/>
          </w:tcPr>
          <w:p>
            <w:pPr>
              <w:pStyle w:val="8"/>
              <w:spacing w:before="127" w:line="220" w:lineRule="auto"/>
              <w:ind w:left="468"/>
              <w:rPr>
                <w:rFonts w:hint="eastAsia" w:ascii="黑体" w:hAnsi="黑体" w:eastAsia="黑体" w:cs="黑体"/>
                <w:b w:val="0"/>
                <w:bCs w:val="0"/>
              </w:rPr>
            </w:pPr>
            <w:r>
              <w:rPr>
                <w:rFonts w:hint="eastAsia" w:ascii="黑体" w:hAnsi="黑体" w:eastAsia="黑体" w:cs="黑体"/>
                <w:b w:val="0"/>
                <w:bCs w:val="0"/>
                <w:spacing w:val="5"/>
              </w:rPr>
              <w:t>单位</w:t>
            </w:r>
          </w:p>
        </w:tc>
        <w:tc>
          <w:tcPr>
            <w:tcW w:w="1712" w:type="dxa"/>
            <w:vAlign w:val="top"/>
          </w:tcPr>
          <w:p>
            <w:pPr>
              <w:pStyle w:val="8"/>
              <w:spacing w:before="126" w:line="219" w:lineRule="auto"/>
              <w:ind w:left="319"/>
              <w:rPr>
                <w:rFonts w:hint="eastAsia" w:ascii="黑体" w:hAnsi="黑体" w:eastAsia="黑体" w:cs="黑体"/>
                <w:b w:val="0"/>
                <w:bCs w:val="0"/>
              </w:rPr>
            </w:pPr>
            <w:r>
              <w:rPr>
                <w:rFonts w:hint="eastAsia" w:ascii="黑体" w:hAnsi="黑体" w:eastAsia="黑体" w:cs="黑体"/>
                <w:b w:val="0"/>
                <w:bCs w:val="0"/>
                <w:spacing w:val="3"/>
              </w:rPr>
              <w:t>标准值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334" w:type="dxa"/>
            <w:vMerge w:val="restart"/>
            <w:tcBorders>
              <w:bottom w:val="nil"/>
            </w:tcBorders>
            <w:vAlign w:val="top"/>
          </w:tcPr>
          <w:p>
            <w:pPr>
              <w:spacing w:line="282" w:lineRule="auto"/>
              <w:rPr>
                <w:rFonts w:hint="eastAsia" w:ascii="仿宋_GB2312" w:hAnsi="仿宋_GB2312" w:eastAsia="仿宋_GB2312" w:cs="仿宋_GB2312"/>
                <w:sz w:val="21"/>
              </w:rPr>
            </w:pPr>
          </w:p>
          <w:p>
            <w:pPr>
              <w:spacing w:line="282" w:lineRule="auto"/>
              <w:rPr>
                <w:rFonts w:hint="eastAsia" w:ascii="仿宋_GB2312" w:hAnsi="仿宋_GB2312" w:eastAsia="仿宋_GB2312" w:cs="仿宋_GB2312"/>
                <w:sz w:val="21"/>
              </w:rPr>
            </w:pPr>
          </w:p>
          <w:p>
            <w:pPr>
              <w:spacing w:line="283" w:lineRule="auto"/>
              <w:rPr>
                <w:rFonts w:hint="eastAsia" w:ascii="仿宋_GB2312" w:hAnsi="仿宋_GB2312" w:eastAsia="仿宋_GB2312" w:cs="仿宋_GB2312"/>
                <w:sz w:val="21"/>
              </w:rPr>
            </w:pPr>
          </w:p>
          <w:p>
            <w:pPr>
              <w:spacing w:line="283" w:lineRule="auto"/>
              <w:rPr>
                <w:rFonts w:hint="eastAsia" w:ascii="仿宋_GB2312" w:hAnsi="仿宋_GB2312" w:eastAsia="仿宋_GB2312" w:cs="仿宋_GB2312"/>
                <w:sz w:val="21"/>
              </w:rPr>
            </w:pPr>
          </w:p>
          <w:p>
            <w:pPr>
              <w:spacing w:line="283" w:lineRule="auto"/>
              <w:rPr>
                <w:rFonts w:hint="eastAsia" w:ascii="仿宋_GB2312" w:hAnsi="仿宋_GB2312" w:eastAsia="仿宋_GB2312" w:cs="仿宋_GB2312"/>
                <w:sz w:val="21"/>
              </w:rPr>
            </w:pPr>
          </w:p>
          <w:p>
            <w:pPr>
              <w:pStyle w:val="8"/>
              <w:spacing w:before="91" w:line="220" w:lineRule="auto"/>
              <w:ind w:left="95"/>
              <w:rPr>
                <w:rFonts w:hint="eastAsia" w:ascii="仿宋_GB2312" w:hAnsi="仿宋_GB2312" w:eastAsia="仿宋_GB2312" w:cs="仿宋_GB2312"/>
              </w:rPr>
            </w:pPr>
            <w:r>
              <w:rPr>
                <w:rFonts w:hint="eastAsia" w:ascii="仿宋_GB2312" w:hAnsi="仿宋_GB2312" w:eastAsia="仿宋_GB2312" w:cs="仿宋_GB2312"/>
                <w:spacing w:val="3"/>
              </w:rPr>
              <w:t>校园建设</w:t>
            </w:r>
          </w:p>
        </w:tc>
        <w:tc>
          <w:tcPr>
            <w:tcW w:w="2878" w:type="dxa"/>
            <w:vMerge w:val="restart"/>
            <w:tcBorders>
              <w:bottom w:val="nil"/>
            </w:tcBorders>
            <w:vAlign w:val="top"/>
          </w:tcPr>
          <w:p>
            <w:pPr>
              <w:spacing w:line="254" w:lineRule="auto"/>
              <w:rPr>
                <w:rFonts w:hint="eastAsia" w:ascii="仿宋_GB2312" w:hAnsi="仿宋_GB2312" w:eastAsia="仿宋_GB2312" w:cs="仿宋_GB2312"/>
                <w:sz w:val="21"/>
              </w:rPr>
            </w:pPr>
          </w:p>
          <w:p>
            <w:pPr>
              <w:spacing w:line="254" w:lineRule="auto"/>
              <w:rPr>
                <w:rFonts w:hint="eastAsia" w:ascii="仿宋_GB2312" w:hAnsi="仿宋_GB2312" w:eastAsia="仿宋_GB2312" w:cs="仿宋_GB2312"/>
                <w:sz w:val="21"/>
              </w:rPr>
            </w:pPr>
          </w:p>
          <w:p>
            <w:pPr>
              <w:spacing w:line="254" w:lineRule="auto"/>
              <w:rPr>
                <w:rFonts w:hint="eastAsia" w:ascii="仿宋_GB2312" w:hAnsi="仿宋_GB2312" w:eastAsia="仿宋_GB2312" w:cs="仿宋_GB2312"/>
                <w:sz w:val="21"/>
              </w:rPr>
            </w:pPr>
          </w:p>
          <w:p>
            <w:pPr>
              <w:spacing w:line="254" w:lineRule="auto"/>
              <w:rPr>
                <w:rFonts w:hint="eastAsia" w:ascii="仿宋_GB2312" w:hAnsi="仿宋_GB2312" w:eastAsia="仿宋_GB2312" w:cs="仿宋_GB2312"/>
                <w:sz w:val="21"/>
              </w:rPr>
            </w:pPr>
          </w:p>
          <w:p>
            <w:pPr>
              <w:pStyle w:val="8"/>
              <w:spacing w:before="91" w:line="220" w:lineRule="auto"/>
              <w:rPr>
                <w:rFonts w:hint="eastAsia" w:ascii="仿宋_GB2312" w:hAnsi="仿宋_GB2312" w:eastAsia="仿宋_GB2312" w:cs="仿宋_GB2312"/>
              </w:rPr>
            </w:pPr>
            <w:r>
              <w:rPr>
                <w:rFonts w:hint="eastAsia" w:ascii="仿宋_GB2312" w:hAnsi="仿宋_GB2312" w:eastAsia="仿宋_GB2312" w:cs="仿宋_GB2312"/>
                <w:spacing w:val="1"/>
                <w:lang w:val="en-US" w:eastAsia="zh-CN"/>
              </w:rPr>
              <w:t>1.</w:t>
            </w:r>
            <w:r>
              <w:rPr>
                <w:rFonts w:hint="eastAsia" w:ascii="仿宋_GB2312" w:hAnsi="仿宋_GB2312" w:eastAsia="仿宋_GB2312" w:cs="仿宋_GB2312"/>
                <w:spacing w:val="1"/>
              </w:rPr>
              <w:t>校园占地</w:t>
            </w:r>
          </w:p>
        </w:tc>
        <w:tc>
          <w:tcPr>
            <w:tcW w:w="5333" w:type="dxa"/>
            <w:vAlign w:val="top"/>
          </w:tcPr>
          <w:p>
            <w:pPr>
              <w:pStyle w:val="8"/>
              <w:spacing w:before="63" w:line="208" w:lineRule="auto"/>
              <w:ind w:left="3"/>
              <w:rPr>
                <w:rFonts w:hint="eastAsia" w:ascii="仿宋_GB2312" w:hAnsi="仿宋_GB2312" w:eastAsia="仿宋_GB2312" w:cs="仿宋_GB2312"/>
              </w:rPr>
            </w:pPr>
            <w:r>
              <w:rPr>
                <w:rFonts w:hint="eastAsia" w:ascii="仿宋_GB2312" w:hAnsi="仿宋_GB2312" w:eastAsia="仿宋_GB2312" w:cs="仿宋_GB2312"/>
                <w:spacing w:val="2"/>
                <w:lang w:val="en-US" w:eastAsia="zh-CN"/>
              </w:rPr>
              <w:t>1.</w:t>
            </w:r>
            <w:r>
              <w:rPr>
                <w:rFonts w:hint="eastAsia" w:ascii="仿宋_GB2312" w:hAnsi="仿宋_GB2312" w:eastAsia="仿宋_GB2312" w:cs="仿宋_GB2312"/>
                <w:spacing w:val="2"/>
              </w:rPr>
              <w:t>校园占地面积</w:t>
            </w:r>
          </w:p>
        </w:tc>
        <w:tc>
          <w:tcPr>
            <w:tcW w:w="1543" w:type="dxa"/>
            <w:vAlign w:val="top"/>
          </w:tcPr>
          <w:p>
            <w:pPr>
              <w:pStyle w:val="8"/>
              <w:spacing w:before="63" w:line="208" w:lineRule="auto"/>
              <w:ind w:left="607"/>
              <w:rPr>
                <w:rFonts w:hint="eastAsia" w:ascii="仿宋_GB2312" w:hAnsi="仿宋_GB2312" w:eastAsia="仿宋_GB2312" w:cs="仿宋_GB2312"/>
              </w:rPr>
            </w:pPr>
            <w:r>
              <w:rPr>
                <w:rFonts w:hint="eastAsia" w:ascii="仿宋_GB2312" w:hAnsi="仿宋_GB2312" w:eastAsia="仿宋_GB2312" w:cs="仿宋_GB2312"/>
              </w:rPr>
              <w:t>亩</w:t>
            </w:r>
          </w:p>
        </w:tc>
        <w:tc>
          <w:tcPr>
            <w:tcW w:w="1712" w:type="dxa"/>
            <w:vAlign w:val="top"/>
          </w:tcPr>
          <w:p>
            <w:pPr>
              <w:pStyle w:val="8"/>
              <w:spacing w:before="89" w:line="191" w:lineRule="auto"/>
              <w:ind w:left="389"/>
              <w:rPr>
                <w:rFonts w:hint="eastAsia" w:ascii="仿宋_GB2312" w:hAnsi="仿宋_GB2312" w:eastAsia="仿宋_GB2312" w:cs="仿宋_GB2312"/>
              </w:rPr>
            </w:pPr>
            <w:r>
              <w:rPr>
                <w:rFonts w:hint="eastAsia" w:ascii="仿宋_GB2312" w:hAnsi="仿宋_GB2312" w:eastAsia="仿宋_GB2312" w:cs="仿宋_GB2312"/>
                <w:spacing w:val="-8"/>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bottom w:val="nil"/>
            </w:tcBorders>
            <w:vAlign w:val="top"/>
          </w:tcPr>
          <w:p>
            <w:pPr>
              <w:rPr>
                <w:rFonts w:hint="eastAsia" w:ascii="仿宋_GB2312" w:hAnsi="仿宋_GB2312" w:eastAsia="仿宋_GB2312" w:cs="仿宋_GB2312"/>
                <w:sz w:val="21"/>
              </w:rPr>
            </w:pPr>
          </w:p>
        </w:tc>
        <w:tc>
          <w:tcPr>
            <w:tcW w:w="5333" w:type="dxa"/>
            <w:vAlign w:val="top"/>
          </w:tcPr>
          <w:p>
            <w:pPr>
              <w:pStyle w:val="8"/>
              <w:spacing w:before="73" w:line="219" w:lineRule="auto"/>
              <w:ind w:left="3"/>
              <w:rPr>
                <w:rFonts w:hint="eastAsia" w:ascii="仿宋_GB2312" w:hAnsi="仿宋_GB2312" w:eastAsia="仿宋_GB2312" w:cs="仿宋_GB2312"/>
              </w:rPr>
            </w:pPr>
            <w:r>
              <w:rPr>
                <w:rFonts w:hint="eastAsia" w:ascii="仿宋_GB2312" w:hAnsi="仿宋_GB2312" w:eastAsia="仿宋_GB2312" w:cs="仿宋_GB2312"/>
                <w:spacing w:val="1"/>
                <w:lang w:val="en-US" w:eastAsia="zh-CN"/>
              </w:rPr>
              <w:t>2.</w:t>
            </w:r>
            <w:r>
              <w:rPr>
                <w:rFonts w:hint="eastAsia" w:ascii="仿宋_GB2312" w:hAnsi="仿宋_GB2312" w:eastAsia="仿宋_GB2312" w:cs="仿宋_GB2312"/>
                <w:spacing w:val="1"/>
              </w:rPr>
              <w:t>学校产权面积*</w:t>
            </w:r>
          </w:p>
        </w:tc>
        <w:tc>
          <w:tcPr>
            <w:tcW w:w="1543" w:type="dxa"/>
            <w:vAlign w:val="top"/>
          </w:tcPr>
          <w:p>
            <w:pPr>
              <w:pStyle w:val="8"/>
              <w:spacing w:before="73" w:line="219" w:lineRule="auto"/>
              <w:ind w:left="328"/>
              <w:rPr>
                <w:rFonts w:hint="eastAsia" w:ascii="仿宋_GB2312" w:hAnsi="仿宋_GB2312" w:eastAsia="仿宋_GB2312" w:cs="仿宋_GB2312"/>
              </w:rPr>
            </w:pPr>
            <w:r>
              <w:rPr>
                <w:rFonts w:hint="eastAsia" w:ascii="仿宋_GB2312" w:hAnsi="仿宋_GB2312" w:eastAsia="仿宋_GB2312" w:cs="仿宋_GB2312"/>
                <w:spacing w:val="4"/>
              </w:rPr>
              <w:t>平方米</w:t>
            </w:r>
          </w:p>
        </w:tc>
        <w:tc>
          <w:tcPr>
            <w:tcW w:w="1712" w:type="dxa"/>
            <w:vAlign w:val="top"/>
          </w:tcPr>
          <w:p>
            <w:pPr>
              <w:pStyle w:val="8"/>
              <w:spacing w:before="73" w:line="219"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bottom w:val="nil"/>
            </w:tcBorders>
            <w:vAlign w:val="top"/>
          </w:tcPr>
          <w:p>
            <w:pPr>
              <w:rPr>
                <w:rFonts w:hint="eastAsia" w:ascii="仿宋_GB2312" w:hAnsi="仿宋_GB2312" w:eastAsia="仿宋_GB2312" w:cs="仿宋_GB2312"/>
                <w:sz w:val="21"/>
              </w:rPr>
            </w:pPr>
          </w:p>
        </w:tc>
        <w:tc>
          <w:tcPr>
            <w:tcW w:w="5333" w:type="dxa"/>
            <w:vAlign w:val="top"/>
          </w:tcPr>
          <w:p>
            <w:pPr>
              <w:pStyle w:val="8"/>
              <w:spacing w:before="74" w:line="214" w:lineRule="auto"/>
              <w:ind w:left="3"/>
              <w:rPr>
                <w:rFonts w:hint="eastAsia" w:ascii="仿宋_GB2312" w:hAnsi="仿宋_GB2312" w:eastAsia="仿宋_GB2312" w:cs="仿宋_GB2312"/>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非学校产权面积(独立使用)*</w:t>
            </w:r>
          </w:p>
        </w:tc>
        <w:tc>
          <w:tcPr>
            <w:tcW w:w="1543" w:type="dxa"/>
            <w:vAlign w:val="top"/>
          </w:tcPr>
          <w:p>
            <w:pPr>
              <w:pStyle w:val="8"/>
              <w:spacing w:before="74" w:line="214" w:lineRule="auto"/>
              <w:ind w:left="328"/>
              <w:rPr>
                <w:rFonts w:hint="eastAsia" w:ascii="仿宋_GB2312" w:hAnsi="仿宋_GB2312" w:eastAsia="仿宋_GB2312" w:cs="仿宋_GB2312"/>
              </w:rPr>
            </w:pPr>
            <w:r>
              <w:rPr>
                <w:rFonts w:hint="eastAsia" w:ascii="仿宋_GB2312" w:hAnsi="仿宋_GB2312" w:eastAsia="仿宋_GB2312" w:cs="仿宋_GB2312"/>
                <w:spacing w:val="4"/>
              </w:rPr>
              <w:t>平方米</w:t>
            </w:r>
          </w:p>
        </w:tc>
        <w:tc>
          <w:tcPr>
            <w:tcW w:w="1712" w:type="dxa"/>
            <w:vAlign w:val="top"/>
          </w:tcPr>
          <w:p>
            <w:pPr>
              <w:pStyle w:val="8"/>
              <w:spacing w:before="74" w:line="214"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bottom w:val="nil"/>
            </w:tcBorders>
            <w:vAlign w:val="top"/>
          </w:tcPr>
          <w:p>
            <w:pPr>
              <w:rPr>
                <w:rFonts w:hint="eastAsia" w:ascii="仿宋_GB2312" w:hAnsi="仿宋_GB2312" w:eastAsia="仿宋_GB2312" w:cs="仿宋_GB2312"/>
                <w:sz w:val="21"/>
              </w:rPr>
            </w:pPr>
          </w:p>
        </w:tc>
        <w:tc>
          <w:tcPr>
            <w:tcW w:w="5333" w:type="dxa"/>
            <w:vAlign w:val="top"/>
          </w:tcPr>
          <w:p>
            <w:pPr>
              <w:pStyle w:val="8"/>
              <w:spacing w:before="74" w:line="214" w:lineRule="auto"/>
              <w:ind w:left="3"/>
              <w:rPr>
                <w:rFonts w:hint="eastAsia" w:ascii="仿宋_GB2312" w:hAnsi="仿宋_GB2312" w:eastAsia="仿宋_GB2312" w:cs="仿宋_GB2312"/>
              </w:rPr>
            </w:pPr>
            <w:r>
              <w:rPr>
                <w:rFonts w:hint="eastAsia" w:ascii="仿宋_GB2312" w:hAnsi="仿宋_GB2312" w:eastAsia="仿宋_GB2312" w:cs="仿宋_GB2312"/>
                <w:lang w:val="en-US" w:eastAsia="zh-CN"/>
              </w:rPr>
              <w:t>4.</w:t>
            </w:r>
            <w:r>
              <w:rPr>
                <w:rFonts w:hint="eastAsia" w:ascii="仿宋_GB2312" w:hAnsi="仿宋_GB2312" w:eastAsia="仿宋_GB2312" w:cs="仿宋_GB2312"/>
              </w:rPr>
              <w:t>非学校产权面积(共同使用)*</w:t>
            </w:r>
          </w:p>
        </w:tc>
        <w:tc>
          <w:tcPr>
            <w:tcW w:w="1543" w:type="dxa"/>
            <w:vAlign w:val="top"/>
          </w:tcPr>
          <w:p>
            <w:pPr>
              <w:pStyle w:val="8"/>
              <w:spacing w:before="74" w:line="214" w:lineRule="auto"/>
              <w:ind w:left="328"/>
              <w:rPr>
                <w:rFonts w:hint="eastAsia" w:ascii="仿宋_GB2312" w:hAnsi="仿宋_GB2312" w:eastAsia="仿宋_GB2312" w:cs="仿宋_GB2312"/>
              </w:rPr>
            </w:pPr>
            <w:r>
              <w:rPr>
                <w:rFonts w:hint="eastAsia" w:ascii="仿宋_GB2312" w:hAnsi="仿宋_GB2312" w:eastAsia="仿宋_GB2312" w:cs="仿宋_GB2312"/>
                <w:spacing w:val="4"/>
              </w:rPr>
              <w:t>平方米</w:t>
            </w:r>
          </w:p>
        </w:tc>
        <w:tc>
          <w:tcPr>
            <w:tcW w:w="1712" w:type="dxa"/>
            <w:vAlign w:val="top"/>
          </w:tcPr>
          <w:p>
            <w:pPr>
              <w:pStyle w:val="8"/>
              <w:spacing w:before="74" w:line="214"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bottom w:val="nil"/>
            </w:tcBorders>
            <w:vAlign w:val="top"/>
          </w:tcPr>
          <w:p>
            <w:pPr>
              <w:rPr>
                <w:rFonts w:hint="eastAsia" w:ascii="仿宋_GB2312" w:hAnsi="仿宋_GB2312" w:eastAsia="仿宋_GB2312" w:cs="仿宋_GB2312"/>
                <w:sz w:val="21"/>
              </w:rPr>
            </w:pPr>
          </w:p>
        </w:tc>
        <w:tc>
          <w:tcPr>
            <w:tcW w:w="5333" w:type="dxa"/>
            <w:vAlign w:val="top"/>
          </w:tcPr>
          <w:p>
            <w:pPr>
              <w:pStyle w:val="8"/>
              <w:spacing w:before="66" w:line="213" w:lineRule="auto"/>
              <w:ind w:left="3"/>
              <w:rPr>
                <w:rFonts w:hint="eastAsia" w:ascii="仿宋_GB2312" w:hAnsi="仿宋_GB2312" w:eastAsia="仿宋_GB2312" w:cs="仿宋_GB2312"/>
              </w:rPr>
            </w:pPr>
            <w:r>
              <w:rPr>
                <w:rFonts w:hint="eastAsia" w:ascii="仿宋_GB2312" w:hAnsi="仿宋_GB2312" w:eastAsia="仿宋_GB2312" w:cs="仿宋_GB2312"/>
                <w:spacing w:val="2"/>
                <w:lang w:val="en-US" w:eastAsia="zh-CN"/>
              </w:rPr>
              <w:t>5.</w:t>
            </w:r>
            <w:r>
              <w:rPr>
                <w:rFonts w:hint="eastAsia" w:ascii="仿宋_GB2312" w:hAnsi="仿宋_GB2312" w:eastAsia="仿宋_GB2312" w:cs="仿宋_GB2312"/>
                <w:spacing w:val="2"/>
              </w:rPr>
              <w:t>生均占地面积</w:t>
            </w:r>
          </w:p>
        </w:tc>
        <w:tc>
          <w:tcPr>
            <w:tcW w:w="1543" w:type="dxa"/>
            <w:vAlign w:val="top"/>
          </w:tcPr>
          <w:p>
            <w:pPr>
              <w:pStyle w:val="8"/>
              <w:spacing w:before="65" w:line="214" w:lineRule="auto"/>
              <w:ind w:left="117"/>
              <w:rPr>
                <w:rFonts w:hint="eastAsia" w:ascii="仿宋_GB2312" w:hAnsi="仿宋_GB2312" w:eastAsia="仿宋_GB2312" w:cs="仿宋_GB2312"/>
              </w:rPr>
            </w:pPr>
            <w:r>
              <w:rPr>
                <w:rFonts w:hint="eastAsia" w:ascii="仿宋_GB2312" w:hAnsi="仿宋_GB2312" w:eastAsia="仿宋_GB2312" w:cs="仿宋_GB2312"/>
                <w:spacing w:val="2"/>
              </w:rPr>
              <w:t>平方米/生</w:t>
            </w:r>
          </w:p>
        </w:tc>
        <w:tc>
          <w:tcPr>
            <w:tcW w:w="1712" w:type="dxa"/>
            <w:vAlign w:val="top"/>
          </w:tcPr>
          <w:p>
            <w:pPr>
              <w:pStyle w:val="8"/>
              <w:spacing w:before="65" w:line="214"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tcBorders>
            <w:vAlign w:val="top"/>
          </w:tcPr>
          <w:p>
            <w:pPr>
              <w:rPr>
                <w:rFonts w:hint="eastAsia" w:ascii="仿宋_GB2312" w:hAnsi="仿宋_GB2312" w:eastAsia="仿宋_GB2312" w:cs="仿宋_GB2312"/>
                <w:sz w:val="21"/>
              </w:rPr>
            </w:pPr>
          </w:p>
        </w:tc>
        <w:tc>
          <w:tcPr>
            <w:tcW w:w="5333" w:type="dxa"/>
            <w:vAlign w:val="top"/>
          </w:tcPr>
          <w:p>
            <w:pPr>
              <w:pStyle w:val="8"/>
              <w:spacing w:before="75" w:line="213" w:lineRule="auto"/>
              <w:ind w:left="3"/>
              <w:rPr>
                <w:rFonts w:hint="eastAsia" w:ascii="仿宋_GB2312" w:hAnsi="仿宋_GB2312" w:eastAsia="仿宋_GB2312" w:cs="仿宋_GB2312"/>
              </w:rPr>
            </w:pPr>
            <w:r>
              <w:rPr>
                <w:rFonts w:hint="eastAsia" w:ascii="仿宋_GB2312" w:hAnsi="仿宋_GB2312" w:eastAsia="仿宋_GB2312" w:cs="仿宋_GB2312"/>
                <w:spacing w:val="1"/>
                <w:lang w:val="en-US" w:eastAsia="zh-CN"/>
              </w:rPr>
              <w:t>6.</w:t>
            </w:r>
            <w:r>
              <w:rPr>
                <w:rFonts w:hint="eastAsia" w:ascii="仿宋_GB2312" w:hAnsi="仿宋_GB2312" w:eastAsia="仿宋_GB2312" w:cs="仿宋_GB2312"/>
                <w:spacing w:val="1"/>
              </w:rPr>
              <w:t>生均体育场地设施面积</w:t>
            </w:r>
          </w:p>
        </w:tc>
        <w:tc>
          <w:tcPr>
            <w:tcW w:w="1543" w:type="dxa"/>
            <w:vAlign w:val="top"/>
          </w:tcPr>
          <w:p>
            <w:pPr>
              <w:pStyle w:val="8"/>
              <w:spacing w:before="75" w:line="213" w:lineRule="auto"/>
              <w:ind w:left="117"/>
              <w:rPr>
                <w:rFonts w:hint="eastAsia" w:ascii="仿宋_GB2312" w:hAnsi="仿宋_GB2312" w:eastAsia="仿宋_GB2312" w:cs="仿宋_GB2312"/>
              </w:rPr>
            </w:pPr>
            <w:r>
              <w:rPr>
                <w:rFonts w:hint="eastAsia" w:ascii="仿宋_GB2312" w:hAnsi="仿宋_GB2312" w:eastAsia="仿宋_GB2312" w:cs="仿宋_GB2312"/>
                <w:spacing w:val="2"/>
              </w:rPr>
              <w:t>平方米/生</w:t>
            </w:r>
          </w:p>
        </w:tc>
        <w:tc>
          <w:tcPr>
            <w:tcW w:w="1712" w:type="dxa"/>
            <w:vAlign w:val="top"/>
          </w:tcPr>
          <w:p>
            <w:pPr>
              <w:pStyle w:val="8"/>
              <w:spacing w:before="75" w:line="213"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Align w:val="top"/>
          </w:tcPr>
          <w:p>
            <w:pPr>
              <w:pStyle w:val="8"/>
              <w:spacing w:before="56" w:line="200" w:lineRule="auto"/>
              <w:rPr>
                <w:rFonts w:hint="eastAsia" w:ascii="仿宋_GB2312" w:hAnsi="仿宋_GB2312" w:eastAsia="仿宋_GB2312" w:cs="仿宋_GB2312"/>
              </w:rPr>
            </w:pPr>
            <w:r>
              <w:rPr>
                <w:rFonts w:hint="eastAsia" w:ascii="仿宋_GB2312" w:hAnsi="仿宋_GB2312" w:eastAsia="仿宋_GB2312" w:cs="仿宋_GB2312"/>
                <w:spacing w:val="2"/>
                <w:lang w:val="en-US" w:eastAsia="zh-CN"/>
              </w:rPr>
              <w:t>2.</w:t>
            </w:r>
            <w:r>
              <w:rPr>
                <w:rFonts w:hint="eastAsia" w:ascii="仿宋_GB2312" w:hAnsi="仿宋_GB2312" w:eastAsia="仿宋_GB2312" w:cs="仿宋_GB2312"/>
                <w:spacing w:val="2"/>
              </w:rPr>
              <w:t>生均宿舍</w:t>
            </w:r>
          </w:p>
        </w:tc>
        <w:tc>
          <w:tcPr>
            <w:tcW w:w="5333" w:type="dxa"/>
            <w:vAlign w:val="top"/>
          </w:tcPr>
          <w:p>
            <w:pPr>
              <w:pStyle w:val="8"/>
              <w:spacing w:before="56" w:line="200" w:lineRule="auto"/>
              <w:ind w:left="3"/>
              <w:rPr>
                <w:rFonts w:hint="eastAsia" w:ascii="仿宋_GB2312" w:hAnsi="仿宋_GB2312" w:eastAsia="仿宋_GB2312" w:cs="仿宋_GB2312"/>
              </w:rPr>
            </w:pPr>
            <w:r>
              <w:rPr>
                <w:rFonts w:hint="eastAsia" w:ascii="仿宋_GB2312" w:hAnsi="仿宋_GB2312" w:eastAsia="仿宋_GB2312" w:cs="仿宋_GB2312"/>
                <w:spacing w:val="1"/>
              </w:rPr>
              <w:t>7.生均学生宿舍面积</w:t>
            </w:r>
          </w:p>
        </w:tc>
        <w:tc>
          <w:tcPr>
            <w:tcW w:w="1543" w:type="dxa"/>
            <w:vAlign w:val="top"/>
          </w:tcPr>
          <w:p>
            <w:pPr>
              <w:pStyle w:val="8"/>
              <w:spacing w:before="56" w:line="200" w:lineRule="auto"/>
              <w:ind w:left="117"/>
              <w:rPr>
                <w:rFonts w:hint="eastAsia" w:ascii="仿宋_GB2312" w:hAnsi="仿宋_GB2312" w:eastAsia="仿宋_GB2312" w:cs="仿宋_GB2312"/>
              </w:rPr>
            </w:pPr>
            <w:r>
              <w:rPr>
                <w:rFonts w:hint="eastAsia" w:ascii="仿宋_GB2312" w:hAnsi="仿宋_GB2312" w:eastAsia="仿宋_GB2312" w:cs="仿宋_GB2312"/>
                <w:spacing w:val="2"/>
              </w:rPr>
              <w:t>平方米/生</w:t>
            </w:r>
          </w:p>
        </w:tc>
        <w:tc>
          <w:tcPr>
            <w:tcW w:w="1712" w:type="dxa"/>
            <w:vAlign w:val="top"/>
          </w:tcPr>
          <w:p>
            <w:pPr>
              <w:pStyle w:val="8"/>
              <w:spacing w:before="83" w:line="182" w:lineRule="auto"/>
              <w:ind w:left="389"/>
              <w:rPr>
                <w:rFonts w:hint="eastAsia" w:ascii="仿宋_GB2312" w:hAnsi="仿宋_GB2312" w:eastAsia="仿宋_GB2312" w:cs="仿宋_GB2312"/>
              </w:rPr>
            </w:pPr>
            <w:r>
              <w:rPr>
                <w:rFonts w:hint="eastAsia" w:ascii="仿宋_GB2312" w:hAnsi="仿宋_GB2312" w:eastAsia="仿宋_GB2312" w:cs="仿宋_GB2312"/>
                <w:spacing w:val="-10"/>
              </w:rPr>
              <w:t>≥</w:t>
            </w:r>
            <w:r>
              <w:rPr>
                <w:rFonts w:hint="eastAsia" w:ascii="仿宋_GB2312" w:hAnsi="仿宋_GB2312" w:eastAsia="仿宋_GB2312" w:cs="仿宋_GB2312"/>
                <w:spacing w:val="-10"/>
                <w:lang w:val="en-US" w:eastAsia="zh-CN"/>
              </w:rPr>
              <w:t>6.</w:t>
            </w:r>
            <w:r>
              <w:rPr>
                <w:rFonts w:hint="eastAsia" w:ascii="仿宋_GB2312" w:hAnsi="仿宋_GB2312" w:eastAsia="仿宋_GB2312" w:cs="仿宋_GB2312"/>
                <w:spacing w:val="-10"/>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334" w:type="dxa"/>
            <w:vMerge w:val="continue"/>
            <w:tcBorders>
              <w:top w:val="nil"/>
            </w:tcBorders>
            <w:vAlign w:val="top"/>
          </w:tcPr>
          <w:p>
            <w:pPr>
              <w:rPr>
                <w:rFonts w:hint="eastAsia" w:ascii="仿宋_GB2312" w:hAnsi="仿宋_GB2312" w:eastAsia="仿宋_GB2312" w:cs="仿宋_GB2312"/>
                <w:sz w:val="21"/>
              </w:rPr>
            </w:pPr>
          </w:p>
        </w:tc>
        <w:tc>
          <w:tcPr>
            <w:tcW w:w="2878" w:type="dxa"/>
            <w:vAlign w:val="top"/>
          </w:tcPr>
          <w:p>
            <w:pPr>
              <w:pStyle w:val="8"/>
              <w:spacing w:before="77" w:line="212" w:lineRule="auto"/>
              <w:rPr>
                <w:rFonts w:hint="eastAsia" w:ascii="仿宋_GB2312" w:hAnsi="仿宋_GB2312" w:eastAsia="仿宋_GB2312" w:cs="仿宋_GB2312"/>
              </w:rPr>
            </w:pPr>
            <w:r>
              <w:rPr>
                <w:rFonts w:hint="eastAsia" w:ascii="仿宋_GB2312" w:hAnsi="仿宋_GB2312" w:eastAsia="仿宋_GB2312" w:cs="仿宋_GB2312"/>
                <w:spacing w:val="1"/>
                <w:lang w:val="en-US" w:eastAsia="zh-CN"/>
              </w:rPr>
              <w:t>3.</w:t>
            </w:r>
            <w:r>
              <w:rPr>
                <w:rFonts w:hint="eastAsia" w:ascii="仿宋_GB2312" w:hAnsi="仿宋_GB2312" w:eastAsia="仿宋_GB2312" w:cs="仿宋_GB2312"/>
                <w:spacing w:val="1"/>
              </w:rPr>
              <w:t>生均教学行政用房</w:t>
            </w:r>
          </w:p>
        </w:tc>
        <w:tc>
          <w:tcPr>
            <w:tcW w:w="5333" w:type="dxa"/>
            <w:vAlign w:val="top"/>
          </w:tcPr>
          <w:p>
            <w:pPr>
              <w:pStyle w:val="8"/>
              <w:spacing w:before="77" w:line="212" w:lineRule="auto"/>
              <w:ind w:left="3"/>
              <w:rPr>
                <w:rFonts w:hint="eastAsia" w:ascii="仿宋_GB2312" w:hAnsi="仿宋_GB2312" w:eastAsia="仿宋_GB2312" w:cs="仿宋_GB2312"/>
              </w:rPr>
            </w:pPr>
            <w:r>
              <w:rPr>
                <w:rFonts w:hint="eastAsia" w:ascii="仿宋_GB2312" w:hAnsi="仿宋_GB2312" w:eastAsia="仿宋_GB2312" w:cs="仿宋_GB2312"/>
                <w:spacing w:val="1"/>
              </w:rPr>
              <w:t>8.生均教学行政用房面积</w:t>
            </w:r>
          </w:p>
        </w:tc>
        <w:tc>
          <w:tcPr>
            <w:tcW w:w="1543" w:type="dxa"/>
            <w:vAlign w:val="top"/>
          </w:tcPr>
          <w:p>
            <w:pPr>
              <w:pStyle w:val="8"/>
              <w:spacing w:before="77" w:line="212" w:lineRule="auto"/>
              <w:ind w:left="117"/>
              <w:rPr>
                <w:rFonts w:hint="eastAsia" w:ascii="仿宋_GB2312" w:hAnsi="仿宋_GB2312" w:eastAsia="仿宋_GB2312" w:cs="仿宋_GB2312"/>
              </w:rPr>
            </w:pPr>
            <w:r>
              <w:rPr>
                <w:rFonts w:hint="eastAsia" w:ascii="仿宋_GB2312" w:hAnsi="仿宋_GB2312" w:eastAsia="仿宋_GB2312" w:cs="仿宋_GB2312"/>
                <w:spacing w:val="2"/>
              </w:rPr>
              <w:t>平方米/生</w:t>
            </w:r>
          </w:p>
        </w:tc>
        <w:tc>
          <w:tcPr>
            <w:tcW w:w="1712" w:type="dxa"/>
            <w:vAlign w:val="top"/>
          </w:tcPr>
          <w:p>
            <w:pPr>
              <w:pStyle w:val="8"/>
              <w:spacing w:before="77" w:line="212"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34" w:type="dxa"/>
            <w:vMerge w:val="restart"/>
            <w:tcBorders>
              <w:bottom w:val="nil"/>
            </w:tcBorders>
            <w:vAlign w:val="top"/>
          </w:tcPr>
          <w:p>
            <w:pPr>
              <w:spacing w:line="269" w:lineRule="auto"/>
              <w:rPr>
                <w:rFonts w:hint="eastAsia" w:ascii="仿宋_GB2312" w:hAnsi="仿宋_GB2312" w:eastAsia="仿宋_GB2312" w:cs="仿宋_GB2312"/>
                <w:sz w:val="21"/>
              </w:rPr>
            </w:pPr>
          </w:p>
          <w:p>
            <w:pPr>
              <w:spacing w:line="269" w:lineRule="auto"/>
              <w:rPr>
                <w:rFonts w:hint="eastAsia" w:ascii="仿宋_GB2312" w:hAnsi="仿宋_GB2312" w:eastAsia="仿宋_GB2312" w:cs="仿宋_GB2312"/>
                <w:sz w:val="21"/>
              </w:rPr>
            </w:pPr>
          </w:p>
          <w:p>
            <w:pPr>
              <w:spacing w:line="269" w:lineRule="auto"/>
              <w:rPr>
                <w:rFonts w:hint="eastAsia" w:ascii="仿宋_GB2312" w:hAnsi="仿宋_GB2312" w:eastAsia="仿宋_GB2312" w:cs="仿宋_GB2312"/>
                <w:sz w:val="21"/>
              </w:rPr>
            </w:pPr>
          </w:p>
          <w:p>
            <w:pPr>
              <w:spacing w:line="270" w:lineRule="auto"/>
              <w:rPr>
                <w:rFonts w:hint="eastAsia" w:ascii="仿宋_GB2312" w:hAnsi="仿宋_GB2312" w:eastAsia="仿宋_GB2312" w:cs="仿宋_GB2312"/>
                <w:sz w:val="21"/>
              </w:rPr>
            </w:pPr>
          </w:p>
          <w:p>
            <w:pPr>
              <w:spacing w:line="270" w:lineRule="auto"/>
              <w:rPr>
                <w:rFonts w:hint="eastAsia" w:ascii="仿宋_GB2312" w:hAnsi="仿宋_GB2312" w:eastAsia="仿宋_GB2312" w:cs="仿宋_GB2312"/>
                <w:sz w:val="21"/>
              </w:rPr>
            </w:pPr>
          </w:p>
          <w:p>
            <w:pPr>
              <w:spacing w:line="270" w:lineRule="auto"/>
              <w:rPr>
                <w:rFonts w:hint="eastAsia" w:ascii="仿宋_GB2312" w:hAnsi="仿宋_GB2312" w:eastAsia="仿宋_GB2312" w:cs="仿宋_GB2312"/>
                <w:sz w:val="21"/>
              </w:rPr>
            </w:pPr>
          </w:p>
          <w:p>
            <w:pPr>
              <w:pStyle w:val="8"/>
              <w:spacing w:before="91" w:line="219" w:lineRule="auto"/>
              <w:ind w:left="95"/>
              <w:rPr>
                <w:rFonts w:hint="eastAsia" w:ascii="仿宋_GB2312" w:hAnsi="仿宋_GB2312" w:eastAsia="仿宋_GB2312" w:cs="仿宋_GB2312"/>
              </w:rPr>
            </w:pPr>
            <w:r>
              <w:rPr>
                <w:rFonts w:hint="eastAsia" w:ascii="仿宋_GB2312" w:hAnsi="仿宋_GB2312" w:eastAsia="仿宋_GB2312" w:cs="仿宋_GB2312"/>
                <w:spacing w:val="3"/>
              </w:rPr>
              <w:t>教学条件</w:t>
            </w:r>
          </w:p>
        </w:tc>
        <w:tc>
          <w:tcPr>
            <w:tcW w:w="2878" w:type="dxa"/>
            <w:vMerge w:val="restart"/>
            <w:tcBorders>
              <w:bottom w:val="nil"/>
            </w:tcBorders>
            <w:vAlign w:val="top"/>
          </w:tcPr>
          <w:p>
            <w:pPr>
              <w:spacing w:line="266" w:lineRule="auto"/>
              <w:rPr>
                <w:rFonts w:hint="eastAsia" w:ascii="仿宋_GB2312" w:hAnsi="仿宋_GB2312" w:eastAsia="仿宋_GB2312" w:cs="仿宋_GB2312"/>
                <w:sz w:val="21"/>
              </w:rPr>
            </w:pPr>
          </w:p>
          <w:p>
            <w:pPr>
              <w:spacing w:line="267" w:lineRule="auto"/>
              <w:rPr>
                <w:rFonts w:hint="eastAsia" w:ascii="仿宋_GB2312" w:hAnsi="仿宋_GB2312" w:eastAsia="仿宋_GB2312" w:cs="仿宋_GB2312"/>
                <w:sz w:val="21"/>
              </w:rPr>
            </w:pPr>
          </w:p>
          <w:p>
            <w:pPr>
              <w:spacing w:line="267" w:lineRule="auto"/>
              <w:rPr>
                <w:rFonts w:hint="eastAsia" w:ascii="仿宋_GB2312" w:hAnsi="仿宋_GB2312" w:eastAsia="仿宋_GB2312" w:cs="仿宋_GB2312"/>
                <w:sz w:val="21"/>
              </w:rPr>
            </w:pPr>
          </w:p>
          <w:p>
            <w:pPr>
              <w:pStyle w:val="8"/>
              <w:spacing w:before="91" w:line="219" w:lineRule="auto"/>
              <w:rPr>
                <w:rFonts w:hint="eastAsia" w:ascii="仿宋_GB2312" w:hAnsi="仿宋_GB2312" w:eastAsia="仿宋_GB2312" w:cs="仿宋_GB2312"/>
              </w:rPr>
            </w:pPr>
            <w:r>
              <w:rPr>
                <w:rFonts w:hint="eastAsia" w:ascii="仿宋_GB2312" w:hAnsi="仿宋_GB2312" w:eastAsia="仿宋_GB2312" w:cs="仿宋_GB2312"/>
                <w:spacing w:val="3"/>
                <w:lang w:val="en-US" w:eastAsia="zh-CN"/>
              </w:rPr>
              <w:t>4.</w:t>
            </w:r>
            <w:r>
              <w:rPr>
                <w:rFonts w:hint="eastAsia" w:ascii="仿宋_GB2312" w:hAnsi="仿宋_GB2312" w:eastAsia="仿宋_GB2312" w:cs="仿宋_GB2312"/>
                <w:spacing w:val="3"/>
              </w:rPr>
              <w:t>图书资源</w:t>
            </w:r>
          </w:p>
        </w:tc>
        <w:tc>
          <w:tcPr>
            <w:tcW w:w="5333" w:type="dxa"/>
            <w:vAlign w:val="top"/>
          </w:tcPr>
          <w:p>
            <w:pPr>
              <w:pStyle w:val="8"/>
              <w:spacing w:before="66" w:line="213" w:lineRule="auto"/>
              <w:ind w:left="3"/>
              <w:rPr>
                <w:rFonts w:hint="eastAsia" w:ascii="仿宋_GB2312" w:hAnsi="仿宋_GB2312" w:eastAsia="仿宋_GB2312" w:cs="仿宋_GB2312"/>
              </w:rPr>
            </w:pPr>
            <w:r>
              <w:rPr>
                <w:rFonts w:hint="eastAsia" w:ascii="仿宋_GB2312" w:hAnsi="仿宋_GB2312" w:eastAsia="仿宋_GB2312" w:cs="仿宋_GB2312"/>
                <w:spacing w:val="1"/>
              </w:rPr>
              <w:t>9.图书资源总量*</w:t>
            </w:r>
          </w:p>
        </w:tc>
        <w:tc>
          <w:tcPr>
            <w:tcW w:w="1543" w:type="dxa"/>
            <w:vAlign w:val="top"/>
          </w:tcPr>
          <w:p>
            <w:pPr>
              <w:pStyle w:val="8"/>
              <w:spacing w:before="69" w:line="211" w:lineRule="auto"/>
              <w:ind w:left="607"/>
              <w:rPr>
                <w:rFonts w:hint="eastAsia" w:ascii="仿宋_GB2312" w:hAnsi="仿宋_GB2312" w:eastAsia="仿宋_GB2312" w:cs="仿宋_GB2312"/>
              </w:rPr>
            </w:pPr>
            <w:r>
              <w:rPr>
                <w:rFonts w:hint="eastAsia" w:ascii="仿宋_GB2312" w:hAnsi="仿宋_GB2312" w:eastAsia="仿宋_GB2312" w:cs="仿宋_GB2312"/>
              </w:rPr>
              <w:t>册</w:t>
            </w:r>
          </w:p>
        </w:tc>
        <w:tc>
          <w:tcPr>
            <w:tcW w:w="1712" w:type="dxa"/>
            <w:vAlign w:val="top"/>
          </w:tcPr>
          <w:p>
            <w:pPr>
              <w:pStyle w:val="8"/>
              <w:spacing w:before="68" w:line="212"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bottom w:val="nil"/>
            </w:tcBorders>
            <w:vAlign w:val="top"/>
          </w:tcPr>
          <w:p>
            <w:pPr>
              <w:rPr>
                <w:rFonts w:hint="eastAsia" w:ascii="仿宋_GB2312" w:hAnsi="仿宋_GB2312" w:eastAsia="仿宋_GB2312" w:cs="仿宋_GB2312"/>
                <w:sz w:val="21"/>
              </w:rPr>
            </w:pPr>
          </w:p>
        </w:tc>
        <w:tc>
          <w:tcPr>
            <w:tcW w:w="5333" w:type="dxa"/>
            <w:vAlign w:val="top"/>
          </w:tcPr>
          <w:p>
            <w:pPr>
              <w:pStyle w:val="8"/>
              <w:spacing w:before="77" w:line="212" w:lineRule="auto"/>
              <w:ind w:left="3"/>
              <w:rPr>
                <w:rFonts w:hint="eastAsia" w:ascii="仿宋_GB2312" w:hAnsi="仿宋_GB2312" w:eastAsia="仿宋_GB2312" w:cs="仿宋_GB2312"/>
              </w:rPr>
            </w:pPr>
            <w:r>
              <w:rPr>
                <w:rFonts w:hint="eastAsia" w:ascii="仿宋_GB2312" w:hAnsi="仿宋_GB2312" w:eastAsia="仿宋_GB2312" w:cs="仿宋_GB2312"/>
              </w:rPr>
              <w:t>10.其中：纸质图书总册数*</w:t>
            </w:r>
          </w:p>
        </w:tc>
        <w:tc>
          <w:tcPr>
            <w:tcW w:w="1543" w:type="dxa"/>
            <w:vAlign w:val="top"/>
          </w:tcPr>
          <w:p>
            <w:pPr>
              <w:pStyle w:val="8"/>
              <w:spacing w:before="80" w:line="210" w:lineRule="auto"/>
              <w:ind w:left="607"/>
              <w:rPr>
                <w:rFonts w:hint="eastAsia" w:ascii="仿宋_GB2312" w:hAnsi="仿宋_GB2312" w:eastAsia="仿宋_GB2312" w:cs="仿宋_GB2312"/>
              </w:rPr>
            </w:pPr>
            <w:r>
              <w:rPr>
                <w:rFonts w:hint="eastAsia" w:ascii="仿宋_GB2312" w:hAnsi="仿宋_GB2312" w:eastAsia="仿宋_GB2312" w:cs="仿宋_GB2312"/>
              </w:rPr>
              <w:t>册</w:t>
            </w:r>
          </w:p>
        </w:tc>
        <w:tc>
          <w:tcPr>
            <w:tcW w:w="1712" w:type="dxa"/>
            <w:vAlign w:val="top"/>
          </w:tcPr>
          <w:p>
            <w:pPr>
              <w:pStyle w:val="8"/>
              <w:spacing w:before="77" w:line="212"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bottom w:val="nil"/>
            </w:tcBorders>
            <w:vAlign w:val="top"/>
          </w:tcPr>
          <w:p>
            <w:pPr>
              <w:rPr>
                <w:rFonts w:hint="eastAsia" w:ascii="仿宋_GB2312" w:hAnsi="仿宋_GB2312" w:eastAsia="仿宋_GB2312" w:cs="仿宋_GB2312"/>
                <w:sz w:val="21"/>
              </w:rPr>
            </w:pPr>
          </w:p>
        </w:tc>
        <w:tc>
          <w:tcPr>
            <w:tcW w:w="5333" w:type="dxa"/>
            <w:vAlign w:val="top"/>
          </w:tcPr>
          <w:p>
            <w:pPr>
              <w:pStyle w:val="8"/>
              <w:spacing w:before="68" w:line="212" w:lineRule="auto"/>
              <w:ind w:left="3"/>
              <w:rPr>
                <w:rFonts w:hint="eastAsia" w:ascii="仿宋_GB2312" w:hAnsi="仿宋_GB2312" w:eastAsia="仿宋_GB2312" w:cs="仿宋_GB2312"/>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1.</w:t>
            </w:r>
            <w:r>
              <w:rPr>
                <w:rFonts w:hint="eastAsia" w:ascii="仿宋_GB2312" w:hAnsi="仿宋_GB2312" w:eastAsia="仿宋_GB2312" w:cs="仿宋_GB2312"/>
              </w:rPr>
              <w:t>其中：数字资源量*</w:t>
            </w:r>
            <w:bookmarkStart w:id="0" w:name="_GoBack"/>
            <w:bookmarkEnd w:id="0"/>
          </w:p>
        </w:tc>
        <w:tc>
          <w:tcPr>
            <w:tcW w:w="1543" w:type="dxa"/>
            <w:vAlign w:val="top"/>
          </w:tcPr>
          <w:p>
            <w:pPr>
              <w:pStyle w:val="8"/>
              <w:spacing w:before="71" w:line="210" w:lineRule="auto"/>
              <w:ind w:left="607"/>
              <w:rPr>
                <w:rFonts w:hint="eastAsia" w:ascii="仿宋_GB2312" w:hAnsi="仿宋_GB2312" w:eastAsia="仿宋_GB2312" w:cs="仿宋_GB2312"/>
              </w:rPr>
            </w:pPr>
            <w:r>
              <w:rPr>
                <w:rFonts w:hint="eastAsia" w:ascii="仿宋_GB2312" w:hAnsi="仿宋_GB2312" w:eastAsia="仿宋_GB2312" w:cs="仿宋_GB2312"/>
              </w:rPr>
              <w:t>册</w:t>
            </w:r>
          </w:p>
        </w:tc>
        <w:tc>
          <w:tcPr>
            <w:tcW w:w="1712" w:type="dxa"/>
            <w:vAlign w:val="top"/>
          </w:tcPr>
          <w:p>
            <w:pPr>
              <w:pStyle w:val="8"/>
              <w:spacing w:before="68" w:line="212"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bottom w:val="nil"/>
            </w:tcBorders>
            <w:vAlign w:val="top"/>
          </w:tcPr>
          <w:p>
            <w:pPr>
              <w:rPr>
                <w:rFonts w:hint="eastAsia" w:ascii="仿宋_GB2312" w:hAnsi="仿宋_GB2312" w:eastAsia="仿宋_GB2312" w:cs="仿宋_GB2312"/>
                <w:sz w:val="21"/>
              </w:rPr>
            </w:pPr>
          </w:p>
        </w:tc>
        <w:tc>
          <w:tcPr>
            <w:tcW w:w="5333" w:type="dxa"/>
            <w:vAlign w:val="top"/>
          </w:tcPr>
          <w:p>
            <w:pPr>
              <w:pStyle w:val="8"/>
              <w:spacing w:before="68" w:line="211" w:lineRule="auto"/>
              <w:ind w:left="3"/>
              <w:rPr>
                <w:rFonts w:hint="eastAsia" w:ascii="仿宋_GB2312" w:hAnsi="仿宋_GB2312" w:eastAsia="仿宋_GB2312" w:cs="仿宋_GB2312"/>
              </w:rPr>
            </w:pPr>
            <w:r>
              <w:rPr>
                <w:rFonts w:hint="eastAsia" w:ascii="仿宋_GB2312" w:hAnsi="仿宋_GB2312" w:eastAsia="仿宋_GB2312" w:cs="仿宋_GB2312"/>
                <w:spacing w:val="2"/>
              </w:rPr>
              <w:t>1</w:t>
            </w:r>
            <w:r>
              <w:rPr>
                <w:rFonts w:hint="eastAsia" w:ascii="仿宋_GB2312" w:hAnsi="仿宋_GB2312" w:eastAsia="仿宋_GB2312" w:cs="仿宋_GB2312"/>
                <w:spacing w:val="2"/>
                <w:lang w:val="en-US" w:eastAsia="zh-CN"/>
              </w:rPr>
              <w:t>2.</w:t>
            </w:r>
            <w:r>
              <w:rPr>
                <w:rFonts w:hint="eastAsia" w:ascii="仿宋_GB2312" w:hAnsi="仿宋_GB2312" w:eastAsia="仿宋_GB2312" w:cs="仿宋_GB2312"/>
                <w:spacing w:val="2"/>
              </w:rPr>
              <w:t>生均图书</w:t>
            </w:r>
          </w:p>
        </w:tc>
        <w:tc>
          <w:tcPr>
            <w:tcW w:w="1543" w:type="dxa"/>
            <w:vAlign w:val="top"/>
          </w:tcPr>
          <w:p>
            <w:pPr>
              <w:pStyle w:val="8"/>
              <w:spacing w:before="72" w:line="209" w:lineRule="auto"/>
              <w:ind w:left="397"/>
              <w:rPr>
                <w:rFonts w:hint="eastAsia" w:ascii="仿宋_GB2312" w:hAnsi="仿宋_GB2312" w:eastAsia="仿宋_GB2312" w:cs="仿宋_GB2312"/>
              </w:rPr>
            </w:pPr>
            <w:r>
              <w:rPr>
                <w:rFonts w:hint="eastAsia" w:ascii="仿宋_GB2312" w:hAnsi="仿宋_GB2312" w:eastAsia="仿宋_GB2312" w:cs="仿宋_GB2312"/>
                <w:spacing w:val="4"/>
              </w:rPr>
              <w:t>册/生</w:t>
            </w:r>
          </w:p>
        </w:tc>
        <w:tc>
          <w:tcPr>
            <w:tcW w:w="1712" w:type="dxa"/>
            <w:vAlign w:val="top"/>
          </w:tcPr>
          <w:p>
            <w:pPr>
              <w:pStyle w:val="8"/>
              <w:spacing w:before="68" w:line="211"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tcBorders>
            <w:vAlign w:val="top"/>
          </w:tcPr>
          <w:p>
            <w:pPr>
              <w:rPr>
                <w:rFonts w:hint="eastAsia" w:ascii="仿宋_GB2312" w:hAnsi="仿宋_GB2312" w:eastAsia="仿宋_GB2312" w:cs="仿宋_GB2312"/>
                <w:sz w:val="21"/>
              </w:rPr>
            </w:pPr>
          </w:p>
        </w:tc>
        <w:tc>
          <w:tcPr>
            <w:tcW w:w="5333" w:type="dxa"/>
            <w:vAlign w:val="top"/>
          </w:tcPr>
          <w:p>
            <w:pPr>
              <w:pStyle w:val="8"/>
              <w:spacing w:before="79" w:line="211" w:lineRule="auto"/>
              <w:ind w:left="3"/>
              <w:rPr>
                <w:rFonts w:hint="eastAsia" w:ascii="仿宋_GB2312" w:hAnsi="仿宋_GB2312" w:eastAsia="仿宋_GB2312" w:cs="仿宋_GB2312"/>
              </w:rPr>
            </w:pPr>
            <w:r>
              <w:rPr>
                <w:rFonts w:hint="eastAsia" w:ascii="仿宋_GB2312" w:hAnsi="仿宋_GB2312" w:eastAsia="仿宋_GB2312" w:cs="仿宋_GB2312"/>
                <w:spacing w:val="1"/>
              </w:rPr>
              <w:t>1</w:t>
            </w:r>
            <w:r>
              <w:rPr>
                <w:rFonts w:hint="eastAsia" w:ascii="仿宋_GB2312" w:hAnsi="仿宋_GB2312" w:eastAsia="仿宋_GB2312" w:cs="仿宋_GB2312"/>
                <w:spacing w:val="1"/>
                <w:lang w:val="en-US" w:eastAsia="zh-CN"/>
              </w:rPr>
              <w:t>3.</w:t>
            </w:r>
            <w:r>
              <w:rPr>
                <w:rFonts w:hint="eastAsia" w:ascii="仿宋_GB2312" w:hAnsi="仿宋_GB2312" w:eastAsia="仿宋_GB2312" w:cs="仿宋_GB2312"/>
                <w:spacing w:val="1"/>
              </w:rPr>
              <w:t>生均年进书量</w:t>
            </w:r>
          </w:p>
        </w:tc>
        <w:tc>
          <w:tcPr>
            <w:tcW w:w="1543" w:type="dxa"/>
            <w:vAlign w:val="top"/>
          </w:tcPr>
          <w:p>
            <w:pPr>
              <w:pStyle w:val="8"/>
              <w:spacing w:before="83" w:line="209" w:lineRule="auto"/>
              <w:ind w:left="397"/>
              <w:rPr>
                <w:rFonts w:hint="eastAsia" w:ascii="仿宋_GB2312" w:hAnsi="仿宋_GB2312" w:eastAsia="仿宋_GB2312" w:cs="仿宋_GB2312"/>
              </w:rPr>
            </w:pPr>
            <w:r>
              <w:rPr>
                <w:rFonts w:hint="eastAsia" w:ascii="仿宋_GB2312" w:hAnsi="仿宋_GB2312" w:eastAsia="仿宋_GB2312" w:cs="仿宋_GB2312"/>
                <w:spacing w:val="4"/>
              </w:rPr>
              <w:t>册/生</w:t>
            </w:r>
          </w:p>
        </w:tc>
        <w:tc>
          <w:tcPr>
            <w:tcW w:w="1712" w:type="dxa"/>
            <w:vAlign w:val="top"/>
          </w:tcPr>
          <w:p>
            <w:pPr>
              <w:pStyle w:val="8"/>
              <w:spacing w:before="79" w:line="211"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restart"/>
            <w:tcBorders>
              <w:bottom w:val="nil"/>
            </w:tcBorders>
            <w:vAlign w:val="top"/>
          </w:tcPr>
          <w:p>
            <w:pPr>
              <w:spacing w:line="387" w:lineRule="auto"/>
              <w:rPr>
                <w:rFonts w:hint="eastAsia" w:ascii="仿宋_GB2312" w:hAnsi="仿宋_GB2312" w:eastAsia="仿宋_GB2312" w:cs="仿宋_GB2312"/>
                <w:sz w:val="21"/>
              </w:rPr>
            </w:pPr>
          </w:p>
          <w:p>
            <w:pPr>
              <w:pStyle w:val="8"/>
              <w:spacing w:before="91" w:line="219" w:lineRule="auto"/>
              <w:rPr>
                <w:rFonts w:hint="eastAsia" w:ascii="仿宋_GB2312" w:hAnsi="仿宋_GB2312" w:eastAsia="仿宋_GB2312" w:cs="仿宋_GB2312"/>
              </w:rPr>
            </w:pPr>
            <w:r>
              <w:rPr>
                <w:rFonts w:hint="eastAsia" w:ascii="仿宋_GB2312" w:hAnsi="仿宋_GB2312" w:eastAsia="仿宋_GB2312" w:cs="仿宋_GB2312"/>
                <w:spacing w:val="1"/>
                <w:lang w:val="en-US" w:eastAsia="zh-CN"/>
              </w:rPr>
              <w:t>5.</w:t>
            </w:r>
            <w:r>
              <w:rPr>
                <w:rFonts w:hint="eastAsia" w:ascii="仿宋_GB2312" w:hAnsi="仿宋_GB2312" w:eastAsia="仿宋_GB2312" w:cs="仿宋_GB2312"/>
                <w:spacing w:val="1"/>
              </w:rPr>
              <w:t>信息化建设</w:t>
            </w:r>
          </w:p>
        </w:tc>
        <w:tc>
          <w:tcPr>
            <w:tcW w:w="5333" w:type="dxa"/>
            <w:vAlign w:val="top"/>
          </w:tcPr>
          <w:p>
            <w:pPr>
              <w:pStyle w:val="8"/>
              <w:spacing w:before="68" w:line="211" w:lineRule="auto"/>
              <w:ind w:left="3"/>
              <w:rPr>
                <w:rFonts w:hint="eastAsia" w:ascii="仿宋_GB2312" w:hAnsi="仿宋_GB2312" w:eastAsia="仿宋_GB2312" w:cs="仿宋_GB2312"/>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4.</w:t>
            </w:r>
            <w:r>
              <w:rPr>
                <w:rFonts w:hint="eastAsia" w:ascii="仿宋_GB2312" w:hAnsi="仿宋_GB2312" w:eastAsia="仿宋_GB2312" w:cs="仿宋_GB2312"/>
              </w:rPr>
              <w:t>百名学生配教学用计算机台数</w:t>
            </w:r>
          </w:p>
        </w:tc>
        <w:tc>
          <w:tcPr>
            <w:tcW w:w="1543" w:type="dxa"/>
            <w:vAlign w:val="top"/>
          </w:tcPr>
          <w:p>
            <w:pPr>
              <w:pStyle w:val="8"/>
              <w:spacing w:before="73" w:line="208" w:lineRule="auto"/>
              <w:ind w:left="607"/>
              <w:rPr>
                <w:rFonts w:hint="eastAsia" w:ascii="仿宋_GB2312" w:hAnsi="仿宋_GB2312" w:eastAsia="仿宋_GB2312" w:cs="仿宋_GB2312"/>
              </w:rPr>
            </w:pPr>
            <w:r>
              <w:rPr>
                <w:rFonts w:hint="eastAsia" w:ascii="仿宋_GB2312" w:hAnsi="仿宋_GB2312" w:eastAsia="仿宋_GB2312" w:cs="仿宋_GB2312"/>
              </w:rPr>
              <w:t>台</w:t>
            </w:r>
          </w:p>
        </w:tc>
        <w:tc>
          <w:tcPr>
            <w:tcW w:w="1712" w:type="dxa"/>
            <w:vAlign w:val="top"/>
          </w:tcPr>
          <w:p>
            <w:pPr>
              <w:pStyle w:val="8"/>
              <w:spacing w:before="97" w:line="192" w:lineRule="auto"/>
              <w:ind w:left="529"/>
              <w:rPr>
                <w:rFonts w:hint="eastAsia" w:ascii="仿宋_GB2312" w:hAnsi="仿宋_GB2312" w:eastAsia="仿宋_GB2312" w:cs="仿宋_GB2312"/>
              </w:rPr>
            </w:pPr>
            <w:r>
              <w:rPr>
                <w:rFonts w:hint="eastAsia" w:ascii="仿宋_GB2312" w:hAnsi="仿宋_GB2312" w:eastAsia="仿宋_GB2312" w:cs="仿宋_GB2312"/>
                <w:spacing w:val="-13"/>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bottom w:val="nil"/>
            </w:tcBorders>
            <w:vAlign w:val="top"/>
          </w:tcPr>
          <w:p>
            <w:pPr>
              <w:rPr>
                <w:rFonts w:hint="eastAsia" w:ascii="仿宋_GB2312" w:hAnsi="仿宋_GB2312" w:eastAsia="仿宋_GB2312" w:cs="仿宋_GB2312"/>
                <w:sz w:val="21"/>
              </w:rPr>
            </w:pPr>
          </w:p>
        </w:tc>
        <w:tc>
          <w:tcPr>
            <w:tcW w:w="5333" w:type="dxa"/>
            <w:vAlign w:val="top"/>
          </w:tcPr>
          <w:p>
            <w:pPr>
              <w:pStyle w:val="8"/>
              <w:spacing w:before="81" w:line="210" w:lineRule="auto"/>
              <w:ind w:left="3"/>
              <w:rPr>
                <w:rFonts w:hint="eastAsia" w:ascii="仿宋_GB2312" w:hAnsi="仿宋_GB2312" w:eastAsia="仿宋_GB2312" w:cs="仿宋_GB2312"/>
              </w:rPr>
            </w:pPr>
            <w:r>
              <w:rPr>
                <w:rFonts w:hint="eastAsia" w:ascii="仿宋_GB2312" w:hAnsi="仿宋_GB2312" w:eastAsia="仿宋_GB2312" w:cs="仿宋_GB2312"/>
                <w:spacing w:val="1"/>
              </w:rPr>
              <w:t>1</w:t>
            </w:r>
            <w:r>
              <w:rPr>
                <w:rFonts w:hint="eastAsia" w:ascii="仿宋_GB2312" w:hAnsi="仿宋_GB2312" w:eastAsia="仿宋_GB2312" w:cs="仿宋_GB2312"/>
                <w:spacing w:val="1"/>
                <w:lang w:val="en-US" w:eastAsia="zh-CN"/>
              </w:rPr>
              <w:t>5.</w:t>
            </w:r>
            <w:r>
              <w:rPr>
                <w:rFonts w:hint="eastAsia" w:ascii="仿宋_GB2312" w:hAnsi="仿宋_GB2312" w:eastAsia="仿宋_GB2312" w:cs="仿宋_GB2312"/>
                <w:spacing w:val="1"/>
              </w:rPr>
              <w:t>接入互联网出口带宽</w:t>
            </w:r>
          </w:p>
        </w:tc>
        <w:tc>
          <w:tcPr>
            <w:tcW w:w="1543" w:type="dxa"/>
            <w:vAlign w:val="top"/>
          </w:tcPr>
          <w:p>
            <w:pPr>
              <w:pStyle w:val="8"/>
              <w:spacing w:before="74" w:line="214" w:lineRule="auto"/>
              <w:ind w:left="468"/>
              <w:rPr>
                <w:rFonts w:hint="eastAsia" w:ascii="仿宋_GB2312" w:hAnsi="仿宋_GB2312" w:eastAsia="仿宋_GB2312" w:cs="仿宋_GB2312"/>
              </w:rPr>
            </w:pPr>
            <w:r>
              <w:rPr>
                <w:rFonts w:hint="eastAsia" w:ascii="仿宋_GB2312" w:hAnsi="仿宋_GB2312" w:eastAsia="仿宋_GB2312" w:cs="仿宋_GB2312"/>
                <w:spacing w:val="-1"/>
              </w:rPr>
              <w:t>Mbps</w:t>
            </w:r>
          </w:p>
        </w:tc>
        <w:tc>
          <w:tcPr>
            <w:tcW w:w="1712" w:type="dxa"/>
            <w:vAlign w:val="top"/>
          </w:tcPr>
          <w:p>
            <w:pPr>
              <w:pStyle w:val="8"/>
              <w:spacing w:before="108" w:line="192" w:lineRule="auto"/>
              <w:ind w:left="319"/>
              <w:rPr>
                <w:rFonts w:hint="eastAsia" w:ascii="仿宋_GB2312" w:hAnsi="仿宋_GB2312" w:eastAsia="仿宋_GB2312" w:cs="仿宋_GB2312"/>
              </w:rPr>
            </w:pPr>
            <w:r>
              <w:rPr>
                <w:rFonts w:hint="eastAsia" w:ascii="仿宋_GB2312" w:hAnsi="仿宋_GB2312" w:eastAsia="仿宋_GB2312" w:cs="仿宋_GB2312"/>
                <w:spacing w:val="-7"/>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tcBorders>
            <w:vAlign w:val="top"/>
          </w:tcPr>
          <w:p>
            <w:pPr>
              <w:rPr>
                <w:rFonts w:hint="eastAsia" w:ascii="仿宋_GB2312" w:hAnsi="仿宋_GB2312" w:eastAsia="仿宋_GB2312" w:cs="仿宋_GB2312"/>
                <w:sz w:val="21"/>
              </w:rPr>
            </w:pPr>
          </w:p>
        </w:tc>
        <w:tc>
          <w:tcPr>
            <w:tcW w:w="5333" w:type="dxa"/>
            <w:vAlign w:val="top"/>
          </w:tcPr>
          <w:p>
            <w:pPr>
              <w:pStyle w:val="8"/>
              <w:spacing w:before="62" w:line="202" w:lineRule="auto"/>
              <w:ind w:left="3"/>
              <w:rPr>
                <w:rFonts w:hint="eastAsia" w:ascii="仿宋_GB2312" w:hAnsi="仿宋_GB2312" w:eastAsia="仿宋_GB2312" w:cs="仿宋_GB2312"/>
              </w:rPr>
            </w:pPr>
            <w:r>
              <w:rPr>
                <w:rFonts w:hint="eastAsia" w:ascii="仿宋_GB2312" w:hAnsi="仿宋_GB2312" w:eastAsia="仿宋_GB2312" w:cs="仿宋_GB2312"/>
                <w:spacing w:val="1"/>
              </w:rPr>
              <w:t>1</w:t>
            </w:r>
            <w:r>
              <w:rPr>
                <w:rFonts w:hint="eastAsia" w:ascii="仿宋_GB2312" w:hAnsi="仿宋_GB2312" w:eastAsia="仿宋_GB2312" w:cs="仿宋_GB2312"/>
                <w:spacing w:val="1"/>
                <w:lang w:val="en-US" w:eastAsia="zh-CN"/>
              </w:rPr>
              <w:t>6.</w:t>
            </w:r>
            <w:r>
              <w:rPr>
                <w:rFonts w:hint="eastAsia" w:ascii="仿宋_GB2312" w:hAnsi="仿宋_GB2312" w:eastAsia="仿宋_GB2312" w:cs="仿宋_GB2312"/>
                <w:spacing w:val="1"/>
              </w:rPr>
              <w:t>无线网络覆盖*</w:t>
            </w:r>
          </w:p>
        </w:tc>
        <w:tc>
          <w:tcPr>
            <w:tcW w:w="1543" w:type="dxa"/>
            <w:vAlign w:val="top"/>
          </w:tcPr>
          <w:p>
            <w:pPr>
              <w:pStyle w:val="8"/>
              <w:spacing w:before="68" w:line="198" w:lineRule="auto"/>
              <w:ind w:left="678"/>
              <w:rPr>
                <w:rFonts w:hint="eastAsia" w:ascii="仿宋_GB2312" w:hAnsi="仿宋_GB2312" w:eastAsia="仿宋_GB2312" w:cs="仿宋_GB2312"/>
              </w:rPr>
            </w:pPr>
            <w:r>
              <w:rPr>
                <w:rFonts w:hint="eastAsia" w:ascii="仿宋_GB2312" w:hAnsi="仿宋_GB2312" w:eastAsia="仿宋_GB2312" w:cs="仿宋_GB2312"/>
              </w:rPr>
              <w:t>/</w:t>
            </w:r>
          </w:p>
        </w:tc>
        <w:tc>
          <w:tcPr>
            <w:tcW w:w="1712" w:type="dxa"/>
            <w:vAlign w:val="top"/>
          </w:tcPr>
          <w:p>
            <w:pPr>
              <w:pStyle w:val="8"/>
              <w:spacing w:before="61" w:line="203"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334" w:type="dxa"/>
            <w:vMerge w:val="continue"/>
            <w:tcBorders>
              <w:top w:val="nil"/>
            </w:tcBorders>
            <w:vAlign w:val="top"/>
          </w:tcPr>
          <w:p>
            <w:pPr>
              <w:rPr>
                <w:rFonts w:hint="eastAsia" w:ascii="仿宋_GB2312" w:hAnsi="仿宋_GB2312" w:eastAsia="仿宋_GB2312" w:cs="仿宋_GB2312"/>
                <w:sz w:val="21"/>
              </w:rPr>
            </w:pPr>
          </w:p>
        </w:tc>
        <w:tc>
          <w:tcPr>
            <w:tcW w:w="2878" w:type="dxa"/>
            <w:vAlign w:val="top"/>
          </w:tcPr>
          <w:p>
            <w:pPr>
              <w:pStyle w:val="8"/>
              <w:spacing w:before="71" w:line="213" w:lineRule="auto"/>
              <w:rPr>
                <w:rFonts w:hint="eastAsia" w:ascii="仿宋_GB2312" w:hAnsi="仿宋_GB2312" w:eastAsia="仿宋_GB2312" w:cs="仿宋_GB2312"/>
              </w:rPr>
            </w:pPr>
            <w:r>
              <w:rPr>
                <w:rFonts w:hint="eastAsia" w:ascii="仿宋_GB2312" w:hAnsi="仿宋_GB2312" w:eastAsia="仿宋_GB2312" w:cs="仿宋_GB2312"/>
                <w:spacing w:val="2"/>
                <w:lang w:val="en-US" w:eastAsia="zh-CN"/>
              </w:rPr>
              <w:t>6.</w:t>
            </w:r>
            <w:r>
              <w:rPr>
                <w:rFonts w:hint="eastAsia" w:ascii="仿宋_GB2312" w:hAnsi="仿宋_GB2312" w:eastAsia="仿宋_GB2312" w:cs="仿宋_GB2312"/>
                <w:spacing w:val="2"/>
              </w:rPr>
              <w:t>仪器设备</w:t>
            </w:r>
          </w:p>
        </w:tc>
        <w:tc>
          <w:tcPr>
            <w:tcW w:w="5333" w:type="dxa"/>
            <w:vAlign w:val="top"/>
          </w:tcPr>
          <w:p>
            <w:pPr>
              <w:pStyle w:val="8"/>
              <w:spacing w:before="71" w:line="213" w:lineRule="auto"/>
              <w:ind w:left="3"/>
              <w:rPr>
                <w:rFonts w:hint="eastAsia" w:ascii="仿宋_GB2312" w:hAnsi="仿宋_GB2312" w:eastAsia="仿宋_GB2312" w:cs="仿宋_GB2312"/>
              </w:rPr>
            </w:pPr>
            <w:r>
              <w:rPr>
                <w:rFonts w:hint="eastAsia" w:ascii="仿宋_GB2312" w:hAnsi="仿宋_GB2312" w:eastAsia="仿宋_GB2312" w:cs="仿宋_GB2312"/>
              </w:rPr>
              <w:t>17.生均教学科研仪器设备值</w:t>
            </w:r>
          </w:p>
        </w:tc>
        <w:tc>
          <w:tcPr>
            <w:tcW w:w="1543" w:type="dxa"/>
            <w:vAlign w:val="top"/>
          </w:tcPr>
          <w:p>
            <w:pPr>
              <w:pStyle w:val="8"/>
              <w:spacing w:before="73" w:line="212" w:lineRule="auto"/>
              <w:ind w:left="397"/>
              <w:rPr>
                <w:rFonts w:hint="eastAsia" w:ascii="仿宋_GB2312" w:hAnsi="仿宋_GB2312" w:eastAsia="仿宋_GB2312" w:cs="仿宋_GB2312"/>
              </w:rPr>
            </w:pPr>
            <w:r>
              <w:rPr>
                <w:rFonts w:hint="eastAsia" w:ascii="仿宋_GB2312" w:hAnsi="仿宋_GB2312" w:eastAsia="仿宋_GB2312" w:cs="仿宋_GB2312"/>
                <w:spacing w:val="4"/>
              </w:rPr>
              <w:t>元/生</w:t>
            </w:r>
          </w:p>
        </w:tc>
        <w:tc>
          <w:tcPr>
            <w:tcW w:w="1712" w:type="dxa"/>
            <w:vAlign w:val="top"/>
          </w:tcPr>
          <w:p>
            <w:pPr>
              <w:pStyle w:val="8"/>
              <w:spacing w:before="71" w:line="213" w:lineRule="auto"/>
              <w:ind w:left="319"/>
              <w:rPr>
                <w:rFonts w:hint="eastAsia" w:ascii="仿宋_GB2312" w:hAnsi="仿宋_GB2312" w:eastAsia="仿宋_GB2312" w:cs="仿宋_GB2312"/>
              </w:rPr>
            </w:pPr>
            <w:r>
              <w:rPr>
                <w:rFonts w:hint="eastAsia" w:ascii="仿宋_GB2312" w:hAnsi="仿宋_GB2312" w:eastAsia="仿宋_GB2312" w:cs="仿宋_GB2312"/>
                <w:spacing w:val="10"/>
              </w:rPr>
              <w:t>见说明</w:t>
            </w:r>
          </w:p>
        </w:tc>
      </w:tr>
    </w:tbl>
    <w:p>
      <w:pPr>
        <w:rPr>
          <w:rFonts w:hint="eastAsia" w:ascii="仿宋_GB2312" w:hAnsi="仿宋_GB2312" w:eastAsia="仿宋_GB2312" w:cs="仿宋_GB2312"/>
          <w:sz w:val="21"/>
        </w:rPr>
      </w:pPr>
    </w:p>
    <w:p>
      <w:pPr>
        <w:rPr>
          <w:rFonts w:hint="eastAsia" w:ascii="仿宋_GB2312" w:hAnsi="仿宋_GB2312" w:eastAsia="仿宋_GB2312" w:cs="仿宋_GB2312"/>
          <w:sz w:val="21"/>
          <w:szCs w:val="21"/>
        </w:rPr>
        <w:sectPr>
          <w:footerReference r:id="rId5" w:type="default"/>
          <w:pgSz w:w="16840" w:h="11910"/>
          <w:pgMar w:top="1012" w:right="2174" w:bottom="999" w:left="1854" w:header="0" w:footer="881" w:gutter="0"/>
          <w:pgNumType w:fmt="numberInDash"/>
          <w:cols w:space="720" w:num="1"/>
        </w:sectPr>
      </w:pPr>
    </w:p>
    <w:p>
      <w:pPr>
        <w:spacing w:before="50"/>
        <w:rPr>
          <w:rFonts w:hint="eastAsia" w:ascii="仿宋_GB2312" w:hAnsi="仿宋_GB2312" w:eastAsia="仿宋_GB2312" w:cs="仿宋_GB2312"/>
        </w:rPr>
      </w:pPr>
    </w:p>
    <w:p>
      <w:pPr>
        <w:spacing w:before="49"/>
        <w:rPr>
          <w:rFonts w:hint="eastAsia" w:ascii="仿宋_GB2312" w:hAnsi="仿宋_GB2312" w:eastAsia="仿宋_GB2312" w:cs="仿宋_GB2312"/>
        </w:rPr>
      </w:pPr>
    </w:p>
    <w:tbl>
      <w:tblPr>
        <w:tblStyle w:val="7"/>
        <w:tblW w:w="129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44"/>
        <w:gridCol w:w="2868"/>
        <w:gridCol w:w="5595"/>
        <w:gridCol w:w="1509"/>
        <w:gridCol w:w="16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344" w:type="dxa"/>
            <w:vMerge w:val="restart"/>
            <w:tcBorders>
              <w:bottom w:val="nil"/>
            </w:tcBorders>
            <w:vAlign w:val="top"/>
          </w:tcPr>
          <w:p>
            <w:pPr>
              <w:rPr>
                <w:rFonts w:hint="eastAsia" w:ascii="仿宋_GB2312" w:hAnsi="仿宋_GB2312" w:eastAsia="仿宋_GB2312" w:cs="仿宋_GB2312"/>
                <w:sz w:val="21"/>
              </w:rPr>
            </w:pPr>
          </w:p>
        </w:tc>
        <w:tc>
          <w:tcPr>
            <w:tcW w:w="2868" w:type="dxa"/>
            <w:vAlign w:val="top"/>
          </w:tcPr>
          <w:p>
            <w:pPr>
              <w:rPr>
                <w:rFonts w:hint="eastAsia" w:ascii="仿宋_GB2312" w:hAnsi="仿宋_GB2312" w:eastAsia="仿宋_GB2312" w:cs="仿宋_GB2312"/>
                <w:sz w:val="21"/>
              </w:rPr>
            </w:pPr>
          </w:p>
        </w:tc>
        <w:tc>
          <w:tcPr>
            <w:tcW w:w="5595" w:type="dxa"/>
            <w:vAlign w:val="top"/>
          </w:tcPr>
          <w:p>
            <w:pPr>
              <w:pStyle w:val="8"/>
              <w:spacing w:before="65" w:line="217" w:lineRule="auto"/>
              <w:ind w:left="2"/>
              <w:rPr>
                <w:rFonts w:hint="eastAsia" w:ascii="仿宋_GB2312" w:hAnsi="仿宋_GB2312" w:eastAsia="仿宋_GB2312" w:cs="仿宋_GB2312"/>
              </w:rPr>
            </w:pPr>
            <w:r>
              <w:rPr>
                <w:rFonts w:hint="eastAsia" w:ascii="仿宋_GB2312" w:hAnsi="仿宋_GB2312" w:eastAsia="仿宋_GB2312" w:cs="仿宋_GB2312"/>
                <w:spacing w:val="1"/>
              </w:rPr>
              <w:t>18.当年新增教学科研仪器设备所占比例</w:t>
            </w:r>
          </w:p>
        </w:tc>
        <w:tc>
          <w:tcPr>
            <w:tcW w:w="1509" w:type="dxa"/>
            <w:vAlign w:val="top"/>
          </w:tcPr>
          <w:p>
            <w:pPr>
              <w:pStyle w:val="8"/>
              <w:spacing w:before="94" w:line="198" w:lineRule="auto"/>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603" w:type="dxa"/>
            <w:vAlign w:val="top"/>
          </w:tcPr>
          <w:p>
            <w:pPr>
              <w:pStyle w:val="8"/>
              <w:spacing w:before="93" w:line="199" w:lineRule="auto"/>
              <w:ind w:left="458"/>
              <w:rPr>
                <w:rFonts w:hint="eastAsia" w:ascii="仿宋_GB2312" w:hAnsi="仿宋_GB2312" w:eastAsia="仿宋_GB2312" w:cs="仿宋_GB2312"/>
              </w:rPr>
            </w:pPr>
            <w:r>
              <w:rPr>
                <w:rFonts w:hint="eastAsia" w:ascii="仿宋_GB2312" w:hAnsi="仿宋_GB2312" w:eastAsia="仿宋_GB2312" w:cs="仿宋_GB2312"/>
                <w:spacing w:val="-10"/>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Merge w:val="restart"/>
            <w:tcBorders>
              <w:bottom w:val="nil"/>
            </w:tcBorders>
            <w:vAlign w:val="top"/>
          </w:tcPr>
          <w:p>
            <w:pPr>
              <w:spacing w:line="248" w:lineRule="auto"/>
              <w:rPr>
                <w:rFonts w:hint="eastAsia" w:ascii="仿宋_GB2312" w:hAnsi="仿宋_GB2312" w:eastAsia="仿宋_GB2312" w:cs="仿宋_GB2312"/>
                <w:sz w:val="21"/>
              </w:rPr>
            </w:pPr>
          </w:p>
          <w:p>
            <w:pPr>
              <w:spacing w:line="248" w:lineRule="auto"/>
              <w:rPr>
                <w:rFonts w:hint="eastAsia" w:ascii="仿宋_GB2312" w:hAnsi="仿宋_GB2312" w:eastAsia="仿宋_GB2312" w:cs="仿宋_GB2312"/>
                <w:sz w:val="21"/>
              </w:rPr>
            </w:pPr>
          </w:p>
          <w:p>
            <w:pPr>
              <w:spacing w:line="249" w:lineRule="auto"/>
              <w:rPr>
                <w:rFonts w:hint="eastAsia" w:ascii="仿宋_GB2312" w:hAnsi="仿宋_GB2312" w:eastAsia="仿宋_GB2312" w:cs="仿宋_GB2312"/>
                <w:sz w:val="21"/>
              </w:rPr>
            </w:pPr>
          </w:p>
          <w:p>
            <w:pPr>
              <w:spacing w:line="249" w:lineRule="auto"/>
              <w:rPr>
                <w:rFonts w:hint="eastAsia" w:ascii="仿宋_GB2312" w:hAnsi="仿宋_GB2312" w:eastAsia="仿宋_GB2312" w:cs="仿宋_GB2312"/>
                <w:sz w:val="21"/>
              </w:rPr>
            </w:pPr>
          </w:p>
          <w:p>
            <w:pPr>
              <w:pStyle w:val="8"/>
              <w:spacing w:before="91" w:line="219" w:lineRule="auto"/>
              <w:ind w:left="10"/>
              <w:rPr>
                <w:rFonts w:hint="eastAsia" w:ascii="仿宋_GB2312" w:hAnsi="仿宋_GB2312" w:eastAsia="仿宋_GB2312" w:cs="仿宋_GB2312"/>
              </w:rPr>
            </w:pPr>
            <w:r>
              <w:rPr>
                <w:rFonts w:hint="eastAsia" w:ascii="仿宋_GB2312" w:hAnsi="仿宋_GB2312" w:eastAsia="仿宋_GB2312" w:cs="仿宋_GB2312"/>
                <w:spacing w:val="1"/>
              </w:rPr>
              <w:t>7.实训条件</w:t>
            </w:r>
          </w:p>
        </w:tc>
        <w:tc>
          <w:tcPr>
            <w:tcW w:w="5595" w:type="dxa"/>
            <w:vAlign w:val="top"/>
          </w:tcPr>
          <w:p>
            <w:pPr>
              <w:pStyle w:val="8"/>
              <w:spacing w:before="61" w:line="216" w:lineRule="auto"/>
              <w:ind w:left="2"/>
              <w:rPr>
                <w:rFonts w:hint="eastAsia" w:ascii="仿宋_GB2312" w:hAnsi="仿宋_GB2312" w:eastAsia="仿宋_GB2312" w:cs="仿宋_GB2312"/>
              </w:rPr>
            </w:pPr>
            <w:r>
              <w:rPr>
                <w:rFonts w:hint="eastAsia" w:ascii="仿宋_GB2312" w:hAnsi="仿宋_GB2312" w:eastAsia="仿宋_GB2312" w:cs="仿宋_GB2312"/>
              </w:rPr>
              <w:t>19.校内实训基地数量*</w:t>
            </w:r>
          </w:p>
        </w:tc>
        <w:tc>
          <w:tcPr>
            <w:tcW w:w="1509" w:type="dxa"/>
            <w:vAlign w:val="top"/>
          </w:tcPr>
          <w:p>
            <w:pPr>
              <w:pStyle w:val="8"/>
              <w:spacing w:before="61" w:line="216" w:lineRule="auto"/>
              <w:ind w:left="607"/>
              <w:rPr>
                <w:rFonts w:hint="eastAsia" w:ascii="仿宋_GB2312" w:hAnsi="仿宋_GB2312" w:eastAsia="仿宋_GB2312" w:cs="仿宋_GB2312"/>
              </w:rPr>
            </w:pPr>
            <w:r>
              <w:rPr>
                <w:rFonts w:hint="eastAsia" w:ascii="仿宋_GB2312" w:hAnsi="仿宋_GB2312" w:eastAsia="仿宋_GB2312" w:cs="仿宋_GB2312"/>
              </w:rPr>
              <w:t>个</w:t>
            </w:r>
          </w:p>
        </w:tc>
        <w:tc>
          <w:tcPr>
            <w:tcW w:w="1603" w:type="dxa"/>
            <w:vAlign w:val="top"/>
          </w:tcPr>
          <w:p>
            <w:pPr>
              <w:pStyle w:val="8"/>
              <w:spacing w:before="61" w:line="216"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Merge w:val="continue"/>
            <w:tcBorders>
              <w:top w:val="nil"/>
              <w:bottom w:val="nil"/>
            </w:tcBorders>
            <w:vAlign w:val="top"/>
          </w:tcPr>
          <w:p>
            <w:pPr>
              <w:rPr>
                <w:rFonts w:hint="eastAsia" w:ascii="仿宋_GB2312" w:hAnsi="仿宋_GB2312" w:eastAsia="仿宋_GB2312" w:cs="仿宋_GB2312"/>
                <w:sz w:val="21"/>
              </w:rPr>
            </w:pPr>
          </w:p>
        </w:tc>
        <w:tc>
          <w:tcPr>
            <w:tcW w:w="5595" w:type="dxa"/>
            <w:vAlign w:val="top"/>
          </w:tcPr>
          <w:p>
            <w:pPr>
              <w:pStyle w:val="8"/>
              <w:spacing w:before="62" w:line="216" w:lineRule="auto"/>
              <w:ind w:left="2"/>
              <w:rPr>
                <w:rFonts w:hint="eastAsia" w:ascii="仿宋_GB2312" w:hAnsi="仿宋_GB2312" w:eastAsia="仿宋_GB2312" w:cs="仿宋_GB2312"/>
              </w:rPr>
            </w:pPr>
            <w:r>
              <w:rPr>
                <w:rFonts w:hint="eastAsia" w:ascii="仿宋_GB2312" w:hAnsi="仿宋_GB2312" w:eastAsia="仿宋_GB2312" w:cs="仿宋_GB2312"/>
              </w:rPr>
              <w:t>20.其中：省级以上实训基地数*</w:t>
            </w:r>
          </w:p>
        </w:tc>
        <w:tc>
          <w:tcPr>
            <w:tcW w:w="1509" w:type="dxa"/>
            <w:vAlign w:val="top"/>
          </w:tcPr>
          <w:p>
            <w:pPr>
              <w:pStyle w:val="8"/>
              <w:spacing w:before="62" w:line="216" w:lineRule="auto"/>
              <w:ind w:left="607"/>
              <w:rPr>
                <w:rFonts w:hint="eastAsia" w:ascii="仿宋_GB2312" w:hAnsi="仿宋_GB2312" w:eastAsia="仿宋_GB2312" w:cs="仿宋_GB2312"/>
              </w:rPr>
            </w:pPr>
            <w:r>
              <w:rPr>
                <w:rFonts w:hint="eastAsia" w:ascii="仿宋_GB2312" w:hAnsi="仿宋_GB2312" w:eastAsia="仿宋_GB2312" w:cs="仿宋_GB2312"/>
              </w:rPr>
              <w:t>个</w:t>
            </w:r>
          </w:p>
        </w:tc>
        <w:tc>
          <w:tcPr>
            <w:tcW w:w="1603" w:type="dxa"/>
            <w:vAlign w:val="top"/>
          </w:tcPr>
          <w:p>
            <w:pPr>
              <w:pStyle w:val="8"/>
              <w:spacing w:before="62" w:line="216"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Merge w:val="continue"/>
            <w:tcBorders>
              <w:top w:val="nil"/>
              <w:bottom w:val="nil"/>
            </w:tcBorders>
            <w:vAlign w:val="top"/>
          </w:tcPr>
          <w:p>
            <w:pPr>
              <w:rPr>
                <w:rFonts w:hint="eastAsia" w:ascii="仿宋_GB2312" w:hAnsi="仿宋_GB2312" w:eastAsia="仿宋_GB2312" w:cs="仿宋_GB2312"/>
                <w:sz w:val="21"/>
              </w:rPr>
            </w:pPr>
          </w:p>
        </w:tc>
        <w:tc>
          <w:tcPr>
            <w:tcW w:w="5595" w:type="dxa"/>
            <w:vAlign w:val="top"/>
          </w:tcPr>
          <w:p>
            <w:pPr>
              <w:pStyle w:val="8"/>
              <w:spacing w:before="71" w:line="216" w:lineRule="auto"/>
              <w:ind w:left="2"/>
              <w:rPr>
                <w:rFonts w:hint="eastAsia" w:ascii="仿宋_GB2312" w:hAnsi="仿宋_GB2312" w:eastAsia="仿宋_GB2312" w:cs="仿宋_GB2312"/>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1.</w:t>
            </w:r>
            <w:r>
              <w:rPr>
                <w:rFonts w:hint="eastAsia" w:ascii="仿宋_GB2312" w:hAnsi="仿宋_GB2312" w:eastAsia="仿宋_GB2312" w:cs="仿宋_GB2312"/>
              </w:rPr>
              <w:t>其中：虚拟仿真实训基地数*</w:t>
            </w:r>
          </w:p>
        </w:tc>
        <w:tc>
          <w:tcPr>
            <w:tcW w:w="1509" w:type="dxa"/>
            <w:vAlign w:val="top"/>
          </w:tcPr>
          <w:p>
            <w:pPr>
              <w:pStyle w:val="8"/>
              <w:spacing w:before="72" w:line="215" w:lineRule="auto"/>
              <w:ind w:left="607"/>
              <w:rPr>
                <w:rFonts w:hint="eastAsia" w:ascii="仿宋_GB2312" w:hAnsi="仿宋_GB2312" w:eastAsia="仿宋_GB2312" w:cs="仿宋_GB2312"/>
              </w:rPr>
            </w:pPr>
            <w:r>
              <w:rPr>
                <w:rFonts w:hint="eastAsia" w:ascii="仿宋_GB2312" w:hAnsi="仿宋_GB2312" w:eastAsia="仿宋_GB2312" w:cs="仿宋_GB2312"/>
              </w:rPr>
              <w:t>个</w:t>
            </w:r>
          </w:p>
        </w:tc>
        <w:tc>
          <w:tcPr>
            <w:tcW w:w="1603" w:type="dxa"/>
            <w:vAlign w:val="top"/>
          </w:tcPr>
          <w:p>
            <w:pPr>
              <w:pStyle w:val="8"/>
              <w:spacing w:before="72" w:line="215"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Merge w:val="continue"/>
            <w:tcBorders>
              <w:top w:val="nil"/>
              <w:bottom w:val="nil"/>
            </w:tcBorders>
            <w:vAlign w:val="top"/>
          </w:tcPr>
          <w:p>
            <w:pPr>
              <w:rPr>
                <w:rFonts w:hint="eastAsia" w:ascii="仿宋_GB2312" w:hAnsi="仿宋_GB2312" w:eastAsia="仿宋_GB2312" w:cs="仿宋_GB2312"/>
                <w:sz w:val="21"/>
              </w:rPr>
            </w:pPr>
          </w:p>
        </w:tc>
        <w:tc>
          <w:tcPr>
            <w:tcW w:w="5595" w:type="dxa"/>
            <w:vAlign w:val="top"/>
          </w:tcPr>
          <w:p>
            <w:pPr>
              <w:pStyle w:val="8"/>
              <w:spacing w:before="63" w:line="209" w:lineRule="auto"/>
              <w:ind w:left="2"/>
              <w:rPr>
                <w:rFonts w:hint="eastAsia" w:ascii="仿宋_GB2312" w:hAnsi="仿宋_GB2312" w:eastAsia="仿宋_GB2312" w:cs="仿宋_GB2312"/>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2.</w:t>
            </w:r>
            <w:r>
              <w:rPr>
                <w:rFonts w:hint="eastAsia" w:ascii="仿宋_GB2312" w:hAnsi="仿宋_GB2312" w:eastAsia="仿宋_GB2312" w:cs="仿宋_GB2312"/>
              </w:rPr>
              <w:t>生均校内实训基地工位数*</w:t>
            </w:r>
          </w:p>
        </w:tc>
        <w:tc>
          <w:tcPr>
            <w:tcW w:w="1509" w:type="dxa"/>
            <w:vAlign w:val="top"/>
          </w:tcPr>
          <w:p>
            <w:pPr>
              <w:pStyle w:val="8"/>
              <w:spacing w:before="63" w:line="209" w:lineRule="auto"/>
              <w:ind w:left="607"/>
              <w:rPr>
                <w:rFonts w:hint="eastAsia" w:ascii="仿宋_GB2312" w:hAnsi="仿宋_GB2312" w:eastAsia="仿宋_GB2312" w:cs="仿宋_GB2312"/>
              </w:rPr>
            </w:pPr>
            <w:r>
              <w:rPr>
                <w:rFonts w:hint="eastAsia" w:ascii="仿宋_GB2312" w:hAnsi="仿宋_GB2312" w:eastAsia="仿宋_GB2312" w:cs="仿宋_GB2312"/>
              </w:rPr>
              <w:t>个</w:t>
            </w:r>
          </w:p>
        </w:tc>
        <w:tc>
          <w:tcPr>
            <w:tcW w:w="1603" w:type="dxa"/>
            <w:vAlign w:val="top"/>
          </w:tcPr>
          <w:p>
            <w:pPr>
              <w:pStyle w:val="8"/>
              <w:spacing w:before="63" w:line="209"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Merge w:val="continue"/>
            <w:tcBorders>
              <w:top w:val="nil"/>
              <w:bottom w:val="nil"/>
            </w:tcBorders>
            <w:vAlign w:val="top"/>
          </w:tcPr>
          <w:p>
            <w:pPr>
              <w:rPr>
                <w:rFonts w:hint="eastAsia" w:ascii="仿宋_GB2312" w:hAnsi="仿宋_GB2312" w:eastAsia="仿宋_GB2312" w:cs="仿宋_GB2312"/>
                <w:sz w:val="21"/>
              </w:rPr>
            </w:pPr>
          </w:p>
        </w:tc>
        <w:tc>
          <w:tcPr>
            <w:tcW w:w="5595" w:type="dxa"/>
            <w:vAlign w:val="top"/>
          </w:tcPr>
          <w:p>
            <w:pPr>
              <w:pStyle w:val="8"/>
              <w:spacing w:before="62" w:line="215" w:lineRule="auto"/>
              <w:ind w:left="2"/>
              <w:rPr>
                <w:rFonts w:hint="eastAsia" w:ascii="仿宋_GB2312" w:hAnsi="仿宋_GB2312" w:eastAsia="仿宋_GB2312" w:cs="仿宋_GB2312"/>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3.</w:t>
            </w:r>
            <w:r>
              <w:rPr>
                <w:rFonts w:hint="eastAsia" w:ascii="仿宋_GB2312" w:hAnsi="仿宋_GB2312" w:eastAsia="仿宋_GB2312" w:cs="仿宋_GB2312"/>
              </w:rPr>
              <w:t>校外实训基地数量*</w:t>
            </w:r>
          </w:p>
        </w:tc>
        <w:tc>
          <w:tcPr>
            <w:tcW w:w="1509" w:type="dxa"/>
            <w:vAlign w:val="top"/>
          </w:tcPr>
          <w:p>
            <w:pPr>
              <w:pStyle w:val="8"/>
              <w:spacing w:before="62" w:line="215" w:lineRule="auto"/>
              <w:ind w:left="607"/>
              <w:rPr>
                <w:rFonts w:hint="eastAsia" w:ascii="仿宋_GB2312" w:hAnsi="仿宋_GB2312" w:eastAsia="仿宋_GB2312" w:cs="仿宋_GB2312"/>
              </w:rPr>
            </w:pPr>
            <w:r>
              <w:rPr>
                <w:rFonts w:hint="eastAsia" w:ascii="仿宋_GB2312" w:hAnsi="仿宋_GB2312" w:eastAsia="仿宋_GB2312" w:cs="仿宋_GB2312"/>
              </w:rPr>
              <w:t>个</w:t>
            </w:r>
          </w:p>
        </w:tc>
        <w:tc>
          <w:tcPr>
            <w:tcW w:w="1603" w:type="dxa"/>
            <w:vAlign w:val="top"/>
          </w:tcPr>
          <w:p>
            <w:pPr>
              <w:pStyle w:val="8"/>
              <w:spacing w:before="62" w:line="215"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344" w:type="dxa"/>
            <w:vMerge w:val="continue"/>
            <w:tcBorders>
              <w:top w:val="nil"/>
            </w:tcBorders>
            <w:vAlign w:val="top"/>
          </w:tcPr>
          <w:p>
            <w:pPr>
              <w:rPr>
                <w:rFonts w:hint="eastAsia" w:ascii="仿宋_GB2312" w:hAnsi="仿宋_GB2312" w:eastAsia="仿宋_GB2312" w:cs="仿宋_GB2312"/>
                <w:sz w:val="21"/>
              </w:rPr>
            </w:pPr>
          </w:p>
        </w:tc>
        <w:tc>
          <w:tcPr>
            <w:tcW w:w="2868" w:type="dxa"/>
            <w:vMerge w:val="continue"/>
            <w:tcBorders>
              <w:top w:val="nil"/>
            </w:tcBorders>
            <w:vAlign w:val="top"/>
          </w:tcPr>
          <w:p>
            <w:pPr>
              <w:rPr>
                <w:rFonts w:hint="eastAsia" w:ascii="仿宋_GB2312" w:hAnsi="仿宋_GB2312" w:eastAsia="仿宋_GB2312" w:cs="仿宋_GB2312"/>
                <w:sz w:val="21"/>
              </w:rPr>
            </w:pPr>
          </w:p>
        </w:tc>
        <w:tc>
          <w:tcPr>
            <w:tcW w:w="5595" w:type="dxa"/>
            <w:vAlign w:val="top"/>
          </w:tcPr>
          <w:p>
            <w:pPr>
              <w:pStyle w:val="8"/>
              <w:spacing w:before="64" w:line="214" w:lineRule="auto"/>
              <w:ind w:left="2"/>
              <w:rPr>
                <w:rFonts w:hint="eastAsia" w:ascii="仿宋_GB2312" w:hAnsi="仿宋_GB2312" w:eastAsia="仿宋_GB2312" w:cs="仿宋_GB2312"/>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4.</w:t>
            </w:r>
            <w:r>
              <w:rPr>
                <w:rFonts w:hint="eastAsia" w:ascii="仿宋_GB2312" w:hAnsi="仿宋_GB2312" w:eastAsia="仿宋_GB2312" w:cs="仿宋_GB2312"/>
              </w:rPr>
              <w:t>建立校外实训基地企业数*</w:t>
            </w:r>
          </w:p>
        </w:tc>
        <w:tc>
          <w:tcPr>
            <w:tcW w:w="1509" w:type="dxa"/>
            <w:vAlign w:val="top"/>
          </w:tcPr>
          <w:p>
            <w:pPr>
              <w:pStyle w:val="8"/>
              <w:spacing w:before="64" w:line="214" w:lineRule="auto"/>
              <w:ind w:left="607"/>
              <w:rPr>
                <w:rFonts w:hint="eastAsia" w:ascii="仿宋_GB2312" w:hAnsi="仿宋_GB2312" w:eastAsia="仿宋_GB2312" w:cs="仿宋_GB2312"/>
              </w:rPr>
            </w:pPr>
            <w:r>
              <w:rPr>
                <w:rFonts w:hint="eastAsia" w:ascii="仿宋_GB2312" w:hAnsi="仿宋_GB2312" w:eastAsia="仿宋_GB2312" w:cs="仿宋_GB2312"/>
              </w:rPr>
              <w:t>个</w:t>
            </w:r>
          </w:p>
        </w:tc>
        <w:tc>
          <w:tcPr>
            <w:tcW w:w="1603" w:type="dxa"/>
            <w:vAlign w:val="top"/>
          </w:tcPr>
          <w:p>
            <w:pPr>
              <w:pStyle w:val="8"/>
              <w:spacing w:before="64" w:line="214"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44" w:type="dxa"/>
            <w:vMerge w:val="restart"/>
            <w:tcBorders>
              <w:bottom w:val="nil"/>
            </w:tcBorders>
            <w:vAlign w:val="top"/>
          </w:tcPr>
          <w:p>
            <w:pPr>
              <w:spacing w:line="262" w:lineRule="auto"/>
              <w:rPr>
                <w:rFonts w:hint="eastAsia" w:ascii="仿宋_GB2312" w:hAnsi="仿宋_GB2312" w:eastAsia="仿宋_GB2312" w:cs="仿宋_GB2312"/>
                <w:sz w:val="21"/>
              </w:rPr>
            </w:pPr>
          </w:p>
          <w:p>
            <w:pPr>
              <w:spacing w:line="262" w:lineRule="auto"/>
              <w:rPr>
                <w:rFonts w:hint="eastAsia" w:ascii="仿宋_GB2312" w:hAnsi="仿宋_GB2312" w:eastAsia="仿宋_GB2312" w:cs="仿宋_GB2312"/>
                <w:sz w:val="21"/>
              </w:rPr>
            </w:pPr>
          </w:p>
          <w:p>
            <w:pPr>
              <w:spacing w:line="263" w:lineRule="auto"/>
              <w:rPr>
                <w:rFonts w:hint="eastAsia" w:ascii="仿宋_GB2312" w:hAnsi="仿宋_GB2312" w:eastAsia="仿宋_GB2312" w:cs="仿宋_GB2312"/>
                <w:sz w:val="21"/>
              </w:rPr>
            </w:pPr>
          </w:p>
          <w:p>
            <w:pPr>
              <w:spacing w:line="263" w:lineRule="auto"/>
              <w:rPr>
                <w:rFonts w:hint="eastAsia" w:ascii="仿宋_GB2312" w:hAnsi="仿宋_GB2312" w:eastAsia="仿宋_GB2312" w:cs="仿宋_GB2312"/>
                <w:sz w:val="21"/>
              </w:rPr>
            </w:pPr>
          </w:p>
          <w:p>
            <w:pPr>
              <w:spacing w:line="263" w:lineRule="auto"/>
              <w:rPr>
                <w:rFonts w:hint="eastAsia" w:ascii="仿宋_GB2312" w:hAnsi="仿宋_GB2312" w:eastAsia="仿宋_GB2312" w:cs="仿宋_GB2312"/>
                <w:sz w:val="21"/>
              </w:rPr>
            </w:pPr>
          </w:p>
          <w:p>
            <w:pPr>
              <w:spacing w:line="263" w:lineRule="auto"/>
              <w:rPr>
                <w:rFonts w:hint="eastAsia" w:ascii="仿宋_GB2312" w:hAnsi="仿宋_GB2312" w:eastAsia="仿宋_GB2312" w:cs="仿宋_GB2312"/>
                <w:sz w:val="21"/>
              </w:rPr>
            </w:pPr>
          </w:p>
          <w:p>
            <w:pPr>
              <w:spacing w:line="263" w:lineRule="auto"/>
              <w:rPr>
                <w:rFonts w:hint="eastAsia" w:ascii="仿宋_GB2312" w:hAnsi="仿宋_GB2312" w:eastAsia="仿宋_GB2312" w:cs="仿宋_GB2312"/>
                <w:sz w:val="21"/>
              </w:rPr>
            </w:pPr>
          </w:p>
          <w:p>
            <w:pPr>
              <w:spacing w:line="263" w:lineRule="auto"/>
              <w:rPr>
                <w:rFonts w:hint="eastAsia" w:ascii="仿宋_GB2312" w:hAnsi="仿宋_GB2312" w:eastAsia="仿宋_GB2312" w:cs="仿宋_GB2312"/>
                <w:sz w:val="21"/>
              </w:rPr>
            </w:pPr>
          </w:p>
          <w:p>
            <w:pPr>
              <w:spacing w:line="263" w:lineRule="auto"/>
              <w:rPr>
                <w:rFonts w:hint="eastAsia" w:ascii="仿宋_GB2312" w:hAnsi="仿宋_GB2312" w:eastAsia="仿宋_GB2312" w:cs="仿宋_GB2312"/>
                <w:sz w:val="21"/>
              </w:rPr>
            </w:pPr>
          </w:p>
          <w:p>
            <w:pPr>
              <w:spacing w:line="263" w:lineRule="auto"/>
              <w:rPr>
                <w:rFonts w:hint="eastAsia" w:ascii="仿宋_GB2312" w:hAnsi="仿宋_GB2312" w:eastAsia="仿宋_GB2312" w:cs="仿宋_GB2312"/>
                <w:sz w:val="21"/>
              </w:rPr>
            </w:pPr>
          </w:p>
          <w:p>
            <w:pPr>
              <w:pStyle w:val="8"/>
              <w:spacing w:before="91" w:line="219" w:lineRule="auto"/>
              <w:ind w:left="134"/>
              <w:rPr>
                <w:rFonts w:hint="eastAsia" w:ascii="仿宋_GB2312" w:hAnsi="仿宋_GB2312" w:eastAsia="仿宋_GB2312" w:cs="仿宋_GB2312"/>
              </w:rPr>
            </w:pPr>
            <w:r>
              <w:rPr>
                <w:rFonts w:hint="eastAsia" w:ascii="仿宋_GB2312" w:hAnsi="仿宋_GB2312" w:eastAsia="仿宋_GB2312" w:cs="仿宋_GB2312"/>
                <w:spacing w:val="3"/>
              </w:rPr>
              <w:t>师资队伍</w:t>
            </w:r>
          </w:p>
        </w:tc>
        <w:tc>
          <w:tcPr>
            <w:tcW w:w="2868" w:type="dxa"/>
            <w:vAlign w:val="top"/>
          </w:tcPr>
          <w:p>
            <w:pPr>
              <w:pStyle w:val="8"/>
              <w:spacing w:before="65" w:line="214" w:lineRule="auto"/>
              <w:ind w:left="10"/>
              <w:rPr>
                <w:rFonts w:hint="eastAsia" w:ascii="仿宋_GB2312" w:hAnsi="仿宋_GB2312" w:eastAsia="仿宋_GB2312" w:cs="仿宋_GB2312"/>
              </w:rPr>
            </w:pPr>
            <w:r>
              <w:rPr>
                <w:rFonts w:hint="eastAsia" w:ascii="仿宋_GB2312" w:hAnsi="仿宋_GB2312" w:eastAsia="仿宋_GB2312" w:cs="仿宋_GB2312"/>
                <w:spacing w:val="1"/>
              </w:rPr>
              <w:t>8.专任教师配备</w:t>
            </w:r>
          </w:p>
        </w:tc>
        <w:tc>
          <w:tcPr>
            <w:tcW w:w="5595" w:type="dxa"/>
            <w:vAlign w:val="top"/>
          </w:tcPr>
          <w:p>
            <w:pPr>
              <w:pStyle w:val="8"/>
              <w:spacing w:before="65" w:line="214" w:lineRule="auto"/>
              <w:ind w:left="2"/>
              <w:rPr>
                <w:rFonts w:hint="eastAsia" w:ascii="仿宋_GB2312" w:hAnsi="仿宋_GB2312" w:eastAsia="仿宋_GB2312" w:cs="仿宋_GB2312"/>
              </w:rPr>
            </w:pPr>
            <w:r>
              <w:rPr>
                <w:rFonts w:hint="eastAsia" w:ascii="仿宋_GB2312" w:hAnsi="仿宋_GB2312" w:eastAsia="仿宋_GB2312" w:cs="仿宋_GB2312"/>
                <w:spacing w:val="1"/>
              </w:rPr>
              <w:t>2</w:t>
            </w:r>
            <w:r>
              <w:rPr>
                <w:rFonts w:hint="eastAsia" w:ascii="仿宋_GB2312" w:hAnsi="仿宋_GB2312" w:eastAsia="仿宋_GB2312" w:cs="仿宋_GB2312"/>
                <w:spacing w:val="1"/>
                <w:lang w:val="en-US" w:eastAsia="zh-CN"/>
              </w:rPr>
              <w:t>5.</w:t>
            </w:r>
            <w:r>
              <w:rPr>
                <w:rFonts w:hint="eastAsia" w:ascii="仿宋_GB2312" w:hAnsi="仿宋_GB2312" w:eastAsia="仿宋_GB2312" w:cs="仿宋_GB2312"/>
                <w:spacing w:val="1"/>
              </w:rPr>
              <w:t>专任教师数量*</w:t>
            </w:r>
          </w:p>
        </w:tc>
        <w:tc>
          <w:tcPr>
            <w:tcW w:w="1509" w:type="dxa"/>
            <w:vAlign w:val="top"/>
          </w:tcPr>
          <w:p>
            <w:pPr>
              <w:pStyle w:val="8"/>
              <w:spacing w:before="69" w:line="211" w:lineRule="auto"/>
              <w:ind w:left="607"/>
              <w:rPr>
                <w:rFonts w:hint="eastAsia" w:ascii="仿宋_GB2312" w:hAnsi="仿宋_GB2312" w:eastAsia="仿宋_GB2312" w:cs="仿宋_GB2312"/>
              </w:rPr>
            </w:pPr>
            <w:r>
              <w:rPr>
                <w:rFonts w:hint="eastAsia" w:ascii="仿宋_GB2312" w:hAnsi="仿宋_GB2312" w:eastAsia="仿宋_GB2312" w:cs="仿宋_GB2312"/>
              </w:rPr>
              <w:t>人</w:t>
            </w:r>
          </w:p>
        </w:tc>
        <w:tc>
          <w:tcPr>
            <w:tcW w:w="1603" w:type="dxa"/>
            <w:vAlign w:val="top"/>
          </w:tcPr>
          <w:p>
            <w:pPr>
              <w:pStyle w:val="8"/>
              <w:spacing w:before="65" w:line="214"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Merge w:val="restart"/>
            <w:tcBorders>
              <w:bottom w:val="nil"/>
            </w:tcBorders>
            <w:vAlign w:val="top"/>
          </w:tcPr>
          <w:p>
            <w:pPr>
              <w:spacing w:line="257" w:lineRule="auto"/>
              <w:rPr>
                <w:rFonts w:hint="eastAsia" w:ascii="仿宋_GB2312" w:hAnsi="仿宋_GB2312" w:eastAsia="仿宋_GB2312" w:cs="仿宋_GB2312"/>
                <w:sz w:val="21"/>
              </w:rPr>
            </w:pPr>
          </w:p>
          <w:p>
            <w:pPr>
              <w:spacing w:line="257" w:lineRule="auto"/>
              <w:rPr>
                <w:rFonts w:hint="eastAsia" w:ascii="仿宋_GB2312" w:hAnsi="仿宋_GB2312" w:eastAsia="仿宋_GB2312" w:cs="仿宋_GB2312"/>
                <w:sz w:val="21"/>
              </w:rPr>
            </w:pPr>
          </w:p>
          <w:p>
            <w:pPr>
              <w:spacing w:line="257" w:lineRule="auto"/>
              <w:rPr>
                <w:rFonts w:hint="eastAsia" w:ascii="仿宋_GB2312" w:hAnsi="仿宋_GB2312" w:eastAsia="仿宋_GB2312" w:cs="仿宋_GB2312"/>
                <w:sz w:val="21"/>
              </w:rPr>
            </w:pPr>
          </w:p>
          <w:p>
            <w:pPr>
              <w:spacing w:line="258" w:lineRule="auto"/>
              <w:rPr>
                <w:rFonts w:hint="eastAsia" w:ascii="仿宋_GB2312" w:hAnsi="仿宋_GB2312" w:eastAsia="仿宋_GB2312" w:cs="仿宋_GB2312"/>
                <w:sz w:val="21"/>
              </w:rPr>
            </w:pPr>
          </w:p>
          <w:p>
            <w:pPr>
              <w:spacing w:line="258" w:lineRule="auto"/>
              <w:rPr>
                <w:rFonts w:hint="eastAsia" w:ascii="仿宋_GB2312" w:hAnsi="仿宋_GB2312" w:eastAsia="仿宋_GB2312" w:cs="仿宋_GB2312"/>
                <w:sz w:val="21"/>
              </w:rPr>
            </w:pPr>
          </w:p>
          <w:p>
            <w:pPr>
              <w:spacing w:line="258" w:lineRule="auto"/>
              <w:rPr>
                <w:rFonts w:hint="eastAsia" w:ascii="仿宋_GB2312" w:hAnsi="仿宋_GB2312" w:eastAsia="仿宋_GB2312" w:cs="仿宋_GB2312"/>
                <w:sz w:val="21"/>
              </w:rPr>
            </w:pPr>
          </w:p>
          <w:p>
            <w:pPr>
              <w:spacing w:line="258" w:lineRule="auto"/>
              <w:rPr>
                <w:rFonts w:hint="eastAsia" w:ascii="仿宋_GB2312" w:hAnsi="仿宋_GB2312" w:eastAsia="仿宋_GB2312" w:cs="仿宋_GB2312"/>
                <w:sz w:val="21"/>
              </w:rPr>
            </w:pPr>
          </w:p>
          <w:p>
            <w:pPr>
              <w:pStyle w:val="8"/>
              <w:spacing w:before="91" w:line="219" w:lineRule="auto"/>
              <w:ind w:left="10"/>
              <w:rPr>
                <w:rFonts w:hint="eastAsia" w:ascii="仿宋_GB2312" w:hAnsi="仿宋_GB2312" w:eastAsia="仿宋_GB2312" w:cs="仿宋_GB2312"/>
              </w:rPr>
            </w:pPr>
            <w:r>
              <w:rPr>
                <w:rFonts w:hint="eastAsia" w:ascii="仿宋_GB2312" w:hAnsi="仿宋_GB2312" w:eastAsia="仿宋_GB2312" w:cs="仿宋_GB2312"/>
                <w:spacing w:val="1"/>
              </w:rPr>
              <w:t>9.兼职教师配备</w:t>
            </w:r>
          </w:p>
        </w:tc>
        <w:tc>
          <w:tcPr>
            <w:tcW w:w="5595" w:type="dxa"/>
            <w:vAlign w:val="top"/>
          </w:tcPr>
          <w:p>
            <w:pPr>
              <w:pStyle w:val="8"/>
              <w:spacing w:before="85" w:line="219" w:lineRule="auto"/>
              <w:ind w:left="2"/>
              <w:rPr>
                <w:rFonts w:hint="eastAsia" w:ascii="仿宋_GB2312" w:hAnsi="仿宋_GB2312" w:eastAsia="仿宋_GB2312" w:cs="仿宋_GB2312"/>
              </w:rPr>
            </w:pPr>
            <w:r>
              <w:rPr>
                <w:rFonts w:hint="eastAsia" w:ascii="仿宋_GB2312" w:hAnsi="仿宋_GB2312" w:eastAsia="仿宋_GB2312" w:cs="仿宋_GB2312"/>
                <w:spacing w:val="1"/>
              </w:rPr>
              <w:t>2</w:t>
            </w:r>
            <w:r>
              <w:rPr>
                <w:rFonts w:hint="eastAsia" w:ascii="仿宋_GB2312" w:hAnsi="仿宋_GB2312" w:eastAsia="仿宋_GB2312" w:cs="仿宋_GB2312"/>
                <w:spacing w:val="1"/>
                <w:lang w:val="en-US" w:eastAsia="zh-CN"/>
              </w:rPr>
              <w:t>6.</w:t>
            </w:r>
            <w:r>
              <w:rPr>
                <w:rFonts w:hint="eastAsia" w:ascii="仿宋_GB2312" w:hAnsi="仿宋_GB2312" w:eastAsia="仿宋_GB2312" w:cs="仿宋_GB2312"/>
                <w:spacing w:val="1"/>
              </w:rPr>
              <w:t>兼职教师数量*</w:t>
            </w:r>
          </w:p>
        </w:tc>
        <w:tc>
          <w:tcPr>
            <w:tcW w:w="1509" w:type="dxa"/>
            <w:vAlign w:val="top"/>
          </w:tcPr>
          <w:p>
            <w:pPr>
              <w:pStyle w:val="8"/>
              <w:spacing w:before="89" w:line="217" w:lineRule="auto"/>
              <w:ind w:left="607"/>
              <w:rPr>
                <w:rFonts w:hint="eastAsia" w:ascii="仿宋_GB2312" w:hAnsi="仿宋_GB2312" w:eastAsia="仿宋_GB2312" w:cs="仿宋_GB2312"/>
              </w:rPr>
            </w:pPr>
            <w:r>
              <w:rPr>
                <w:rFonts w:hint="eastAsia" w:ascii="仿宋_GB2312" w:hAnsi="仿宋_GB2312" w:eastAsia="仿宋_GB2312" w:cs="仿宋_GB2312"/>
              </w:rPr>
              <w:t>人</w:t>
            </w:r>
          </w:p>
        </w:tc>
        <w:tc>
          <w:tcPr>
            <w:tcW w:w="1603" w:type="dxa"/>
            <w:vAlign w:val="top"/>
          </w:tcPr>
          <w:p>
            <w:pPr>
              <w:pStyle w:val="8"/>
              <w:spacing w:before="85" w:line="219"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Merge w:val="continue"/>
            <w:tcBorders>
              <w:top w:val="nil"/>
              <w:bottom w:val="nil"/>
            </w:tcBorders>
            <w:vAlign w:val="top"/>
          </w:tcPr>
          <w:p>
            <w:pPr>
              <w:rPr>
                <w:rFonts w:hint="eastAsia" w:ascii="仿宋_GB2312" w:hAnsi="仿宋_GB2312" w:eastAsia="仿宋_GB2312" w:cs="仿宋_GB2312"/>
                <w:sz w:val="21"/>
              </w:rPr>
            </w:pPr>
          </w:p>
        </w:tc>
        <w:tc>
          <w:tcPr>
            <w:tcW w:w="5595" w:type="dxa"/>
            <w:vAlign w:val="top"/>
          </w:tcPr>
          <w:p>
            <w:pPr>
              <w:pStyle w:val="8"/>
              <w:spacing w:before="66" w:line="213" w:lineRule="auto"/>
              <w:ind w:left="2"/>
              <w:rPr>
                <w:rFonts w:hint="eastAsia" w:ascii="仿宋_GB2312" w:hAnsi="仿宋_GB2312" w:eastAsia="仿宋_GB2312" w:cs="仿宋_GB2312"/>
              </w:rPr>
            </w:pPr>
            <w:r>
              <w:rPr>
                <w:rFonts w:hint="eastAsia" w:ascii="仿宋_GB2312" w:hAnsi="仿宋_GB2312" w:eastAsia="仿宋_GB2312" w:cs="仿宋_GB2312"/>
              </w:rPr>
              <w:t>27.其中：校外教师数量*</w:t>
            </w:r>
          </w:p>
        </w:tc>
        <w:tc>
          <w:tcPr>
            <w:tcW w:w="1509" w:type="dxa"/>
            <w:vAlign w:val="top"/>
          </w:tcPr>
          <w:p>
            <w:pPr>
              <w:pStyle w:val="8"/>
              <w:spacing w:before="69" w:line="211" w:lineRule="auto"/>
              <w:ind w:left="607"/>
              <w:rPr>
                <w:rFonts w:hint="eastAsia" w:ascii="仿宋_GB2312" w:hAnsi="仿宋_GB2312" w:eastAsia="仿宋_GB2312" w:cs="仿宋_GB2312"/>
              </w:rPr>
            </w:pPr>
            <w:r>
              <w:rPr>
                <w:rFonts w:hint="eastAsia" w:ascii="仿宋_GB2312" w:hAnsi="仿宋_GB2312" w:eastAsia="仿宋_GB2312" w:cs="仿宋_GB2312"/>
              </w:rPr>
              <w:t>人</w:t>
            </w:r>
          </w:p>
        </w:tc>
        <w:tc>
          <w:tcPr>
            <w:tcW w:w="1603" w:type="dxa"/>
            <w:vAlign w:val="top"/>
          </w:tcPr>
          <w:p>
            <w:pPr>
              <w:pStyle w:val="8"/>
              <w:spacing w:before="66" w:line="213"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Merge w:val="continue"/>
            <w:tcBorders>
              <w:top w:val="nil"/>
              <w:bottom w:val="nil"/>
            </w:tcBorders>
            <w:vAlign w:val="top"/>
          </w:tcPr>
          <w:p>
            <w:pPr>
              <w:rPr>
                <w:rFonts w:hint="eastAsia" w:ascii="仿宋_GB2312" w:hAnsi="仿宋_GB2312" w:eastAsia="仿宋_GB2312" w:cs="仿宋_GB2312"/>
                <w:sz w:val="21"/>
              </w:rPr>
            </w:pPr>
          </w:p>
        </w:tc>
        <w:tc>
          <w:tcPr>
            <w:tcW w:w="5595" w:type="dxa"/>
            <w:vAlign w:val="top"/>
          </w:tcPr>
          <w:p>
            <w:pPr>
              <w:pStyle w:val="8"/>
              <w:spacing w:before="65" w:line="213" w:lineRule="auto"/>
              <w:ind w:left="2"/>
              <w:rPr>
                <w:rFonts w:hint="eastAsia" w:ascii="仿宋_GB2312" w:hAnsi="仿宋_GB2312" w:eastAsia="仿宋_GB2312" w:cs="仿宋_GB2312"/>
              </w:rPr>
            </w:pPr>
            <w:r>
              <w:rPr>
                <w:rFonts w:hint="eastAsia" w:ascii="仿宋_GB2312" w:hAnsi="仿宋_GB2312" w:eastAsia="仿宋_GB2312" w:cs="仿宋_GB2312"/>
              </w:rPr>
              <w:t>28.其中：行业导师数量*</w:t>
            </w:r>
          </w:p>
        </w:tc>
        <w:tc>
          <w:tcPr>
            <w:tcW w:w="1509" w:type="dxa"/>
            <w:vAlign w:val="top"/>
          </w:tcPr>
          <w:p>
            <w:pPr>
              <w:pStyle w:val="8"/>
              <w:spacing w:before="70" w:line="210" w:lineRule="auto"/>
              <w:ind w:left="607"/>
              <w:rPr>
                <w:rFonts w:hint="eastAsia" w:ascii="仿宋_GB2312" w:hAnsi="仿宋_GB2312" w:eastAsia="仿宋_GB2312" w:cs="仿宋_GB2312"/>
              </w:rPr>
            </w:pPr>
            <w:r>
              <w:rPr>
                <w:rFonts w:hint="eastAsia" w:ascii="仿宋_GB2312" w:hAnsi="仿宋_GB2312" w:eastAsia="仿宋_GB2312" w:cs="仿宋_GB2312"/>
              </w:rPr>
              <w:t>人</w:t>
            </w:r>
          </w:p>
        </w:tc>
        <w:tc>
          <w:tcPr>
            <w:tcW w:w="1603" w:type="dxa"/>
            <w:vAlign w:val="top"/>
          </w:tcPr>
          <w:p>
            <w:pPr>
              <w:pStyle w:val="8"/>
              <w:spacing w:before="65" w:line="213"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Merge w:val="continue"/>
            <w:tcBorders>
              <w:top w:val="nil"/>
              <w:bottom w:val="nil"/>
            </w:tcBorders>
            <w:vAlign w:val="top"/>
          </w:tcPr>
          <w:p>
            <w:pPr>
              <w:rPr>
                <w:rFonts w:hint="eastAsia" w:ascii="仿宋_GB2312" w:hAnsi="仿宋_GB2312" w:eastAsia="仿宋_GB2312" w:cs="仿宋_GB2312"/>
                <w:sz w:val="21"/>
              </w:rPr>
            </w:pPr>
          </w:p>
        </w:tc>
        <w:tc>
          <w:tcPr>
            <w:tcW w:w="5595" w:type="dxa"/>
            <w:vAlign w:val="top"/>
          </w:tcPr>
          <w:p>
            <w:pPr>
              <w:pStyle w:val="8"/>
              <w:spacing w:before="66" w:line="213" w:lineRule="auto"/>
              <w:ind w:left="2"/>
              <w:rPr>
                <w:rFonts w:hint="eastAsia" w:ascii="仿宋_GB2312" w:hAnsi="仿宋_GB2312" w:eastAsia="仿宋_GB2312" w:cs="仿宋_GB2312"/>
              </w:rPr>
            </w:pPr>
            <w:r>
              <w:rPr>
                <w:rFonts w:hint="eastAsia" w:ascii="仿宋_GB2312" w:hAnsi="仿宋_GB2312" w:eastAsia="仿宋_GB2312" w:cs="仿宋_GB2312"/>
                <w:spacing w:val="1"/>
              </w:rPr>
              <w:t>29.兼职教师占专兼职教师总数的比例</w:t>
            </w:r>
          </w:p>
        </w:tc>
        <w:tc>
          <w:tcPr>
            <w:tcW w:w="1509" w:type="dxa"/>
            <w:vAlign w:val="top"/>
          </w:tcPr>
          <w:p>
            <w:pPr>
              <w:pStyle w:val="8"/>
              <w:spacing w:before="95" w:line="194" w:lineRule="auto"/>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603" w:type="dxa"/>
            <w:vAlign w:val="top"/>
          </w:tcPr>
          <w:p>
            <w:pPr>
              <w:pStyle w:val="8"/>
              <w:spacing w:before="92" w:line="196" w:lineRule="auto"/>
              <w:ind w:left="458"/>
              <w:rPr>
                <w:rFonts w:hint="eastAsia" w:ascii="仿宋_GB2312" w:hAnsi="仿宋_GB2312" w:eastAsia="仿宋_GB2312" w:cs="仿宋_GB2312"/>
              </w:rPr>
            </w:pPr>
            <w:r>
              <w:rPr>
                <w:rFonts w:hint="eastAsia" w:ascii="仿宋_GB2312" w:hAnsi="仿宋_GB2312" w:eastAsia="仿宋_GB2312" w:cs="仿宋_GB2312"/>
                <w:spacing w:val="-8"/>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Merge w:val="continue"/>
            <w:tcBorders>
              <w:top w:val="nil"/>
              <w:bottom w:val="nil"/>
            </w:tcBorders>
            <w:vAlign w:val="top"/>
          </w:tcPr>
          <w:p>
            <w:pPr>
              <w:rPr>
                <w:rFonts w:hint="eastAsia" w:ascii="仿宋_GB2312" w:hAnsi="仿宋_GB2312" w:eastAsia="仿宋_GB2312" w:cs="仿宋_GB2312"/>
                <w:sz w:val="21"/>
              </w:rPr>
            </w:pPr>
          </w:p>
        </w:tc>
        <w:tc>
          <w:tcPr>
            <w:tcW w:w="5595" w:type="dxa"/>
            <w:vAlign w:val="top"/>
          </w:tcPr>
          <w:p>
            <w:pPr>
              <w:spacing w:line="287" w:lineRule="auto"/>
              <w:rPr>
                <w:rFonts w:hint="eastAsia" w:ascii="仿宋_GB2312" w:hAnsi="仿宋_GB2312" w:eastAsia="仿宋_GB2312" w:cs="仿宋_GB2312"/>
                <w:sz w:val="21"/>
              </w:rPr>
            </w:pPr>
          </w:p>
          <w:p>
            <w:pPr>
              <w:pStyle w:val="8"/>
              <w:spacing w:before="91" w:line="219" w:lineRule="auto"/>
              <w:ind w:left="2"/>
              <w:rPr>
                <w:rFonts w:hint="eastAsia" w:ascii="仿宋_GB2312" w:hAnsi="仿宋_GB2312" w:eastAsia="仿宋_GB2312" w:cs="仿宋_GB2312"/>
              </w:rPr>
            </w:pPr>
            <w:r>
              <w:rPr>
                <w:rFonts w:hint="eastAsia" w:ascii="仿宋_GB2312" w:hAnsi="仿宋_GB2312" w:eastAsia="仿宋_GB2312" w:cs="仿宋_GB2312"/>
                <w:spacing w:val="1"/>
              </w:rPr>
              <w:t>30.行业导师占专兼职教师总数的比例</w:t>
            </w:r>
          </w:p>
        </w:tc>
        <w:tc>
          <w:tcPr>
            <w:tcW w:w="1509" w:type="dxa"/>
            <w:vAlign w:val="top"/>
          </w:tcPr>
          <w:p>
            <w:pPr>
              <w:spacing w:line="300" w:lineRule="auto"/>
              <w:rPr>
                <w:rFonts w:hint="eastAsia" w:ascii="仿宋_GB2312" w:hAnsi="仿宋_GB2312" w:eastAsia="仿宋_GB2312" w:cs="仿宋_GB2312"/>
                <w:sz w:val="21"/>
              </w:rPr>
            </w:pPr>
          </w:p>
          <w:p>
            <w:pPr>
              <w:pStyle w:val="8"/>
              <w:spacing w:before="91"/>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603" w:type="dxa"/>
            <w:vAlign w:val="top"/>
          </w:tcPr>
          <w:p>
            <w:pPr>
              <w:pStyle w:val="8"/>
              <w:spacing w:before="165" w:line="213" w:lineRule="auto"/>
              <w:ind w:left="458"/>
              <w:rPr>
                <w:rFonts w:hint="eastAsia" w:ascii="仿宋_GB2312" w:hAnsi="仿宋_GB2312" w:eastAsia="仿宋_GB2312" w:cs="仿宋_GB2312"/>
              </w:rPr>
            </w:pPr>
            <w:r>
              <w:rPr>
                <w:rFonts w:hint="eastAsia" w:ascii="仿宋_GB2312" w:hAnsi="仿宋_GB2312" w:eastAsia="仿宋_GB2312" w:cs="仿宋_GB2312"/>
                <w:spacing w:val="-10"/>
              </w:rPr>
              <w:t>≥25</w:t>
            </w:r>
          </w:p>
          <w:p>
            <w:pPr>
              <w:pStyle w:val="8"/>
              <w:spacing w:line="220" w:lineRule="auto"/>
              <w:rPr>
                <w:rFonts w:hint="eastAsia" w:ascii="仿宋_GB2312" w:hAnsi="仿宋_GB2312" w:eastAsia="仿宋_GB2312" w:cs="仿宋_GB2312"/>
              </w:rPr>
            </w:pPr>
            <w:r>
              <w:rPr>
                <w:rFonts w:hint="eastAsia" w:ascii="仿宋_GB2312" w:hAnsi="仿宋_GB2312" w:eastAsia="仿宋_GB2312" w:cs="仿宋_GB2312"/>
              </w:rPr>
              <w:t>(其中，</w:t>
            </w:r>
            <w:r>
              <w:rPr>
                <w:rFonts w:hint="eastAsia" w:ascii="仿宋_GB2312" w:hAnsi="仿宋_GB2312" w:eastAsia="仿宋_GB2312" w:cs="仿宋_GB2312"/>
                <w:spacing w:val="-5"/>
              </w:rPr>
              <w:t>民办学校：</w:t>
            </w:r>
            <w:r>
              <w:rPr>
                <w:rFonts w:hint="eastAsia" w:ascii="仿宋_GB2312" w:hAnsi="仿宋_GB2312" w:eastAsia="仿宋_GB2312" w:cs="仿宋_GB2312"/>
                <w:spacing w:val="-7"/>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Merge w:val="continue"/>
            <w:tcBorders>
              <w:top w:val="nil"/>
            </w:tcBorders>
            <w:vAlign w:val="top"/>
          </w:tcPr>
          <w:p>
            <w:pPr>
              <w:rPr>
                <w:rFonts w:hint="eastAsia" w:ascii="仿宋_GB2312" w:hAnsi="仿宋_GB2312" w:eastAsia="仿宋_GB2312" w:cs="仿宋_GB2312"/>
                <w:sz w:val="21"/>
              </w:rPr>
            </w:pPr>
          </w:p>
        </w:tc>
        <w:tc>
          <w:tcPr>
            <w:tcW w:w="5595" w:type="dxa"/>
            <w:vAlign w:val="top"/>
          </w:tcPr>
          <w:p>
            <w:pPr>
              <w:pStyle w:val="8"/>
              <w:spacing w:before="110" w:line="227" w:lineRule="auto"/>
              <w:ind w:left="2" w:right="110"/>
              <w:rPr>
                <w:rFonts w:hint="eastAsia" w:ascii="仿宋_GB2312" w:hAnsi="仿宋_GB2312" w:eastAsia="仿宋_GB2312" w:cs="仿宋_GB2312"/>
              </w:rPr>
            </w:pPr>
            <w:r>
              <w:rPr>
                <w:rFonts w:hint="eastAsia" w:ascii="仿宋_GB2312" w:hAnsi="仿宋_GB2312" w:eastAsia="仿宋_GB2312" w:cs="仿宋_GB2312"/>
              </w:rPr>
              <w:t>3</w:t>
            </w:r>
            <w:r>
              <w:rPr>
                <w:rFonts w:hint="eastAsia" w:ascii="仿宋_GB2312" w:hAnsi="仿宋_GB2312" w:eastAsia="仿宋_GB2312" w:cs="仿宋_GB2312"/>
                <w:lang w:val="en-US" w:eastAsia="zh-CN"/>
              </w:rPr>
              <w:t>1.</w:t>
            </w:r>
            <w:r>
              <w:rPr>
                <w:rFonts w:hint="eastAsia" w:ascii="仿宋_GB2312" w:hAnsi="仿宋_GB2312" w:eastAsia="仿宋_GB2312" w:cs="仿宋_GB2312"/>
              </w:rPr>
              <w:t>行业导师承担专业课教学任务课时占学校</w:t>
            </w:r>
            <w:r>
              <w:rPr>
                <w:rFonts w:hint="eastAsia" w:ascii="仿宋_GB2312" w:hAnsi="仿宋_GB2312" w:eastAsia="仿宋_GB2312" w:cs="仿宋_GB2312"/>
                <w:spacing w:val="2"/>
              </w:rPr>
              <w:t>专业课总课时比例</w:t>
            </w:r>
          </w:p>
        </w:tc>
        <w:tc>
          <w:tcPr>
            <w:tcW w:w="1509" w:type="dxa"/>
            <w:vAlign w:val="top"/>
          </w:tcPr>
          <w:p>
            <w:pPr>
              <w:pStyle w:val="8"/>
              <w:spacing w:before="306"/>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603" w:type="dxa"/>
            <w:vAlign w:val="top"/>
          </w:tcPr>
          <w:p>
            <w:pPr>
              <w:pStyle w:val="8"/>
              <w:spacing w:before="307" w:line="237" w:lineRule="auto"/>
              <w:ind w:left="458"/>
              <w:rPr>
                <w:rFonts w:hint="eastAsia" w:ascii="仿宋_GB2312" w:hAnsi="仿宋_GB2312" w:eastAsia="仿宋_GB2312" w:cs="仿宋_GB2312"/>
              </w:rPr>
            </w:pPr>
            <w:r>
              <w:rPr>
                <w:rFonts w:hint="eastAsia" w:ascii="仿宋_GB2312" w:hAnsi="仿宋_GB2312" w:eastAsia="仿宋_GB2312" w:cs="仿宋_GB2312"/>
                <w:spacing w:val="-10"/>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Align w:val="top"/>
          </w:tcPr>
          <w:p>
            <w:pPr>
              <w:pStyle w:val="8"/>
              <w:spacing w:before="68" w:line="211" w:lineRule="auto"/>
              <w:ind w:left="10"/>
              <w:rPr>
                <w:rFonts w:hint="eastAsia" w:ascii="仿宋_GB2312" w:hAnsi="仿宋_GB2312" w:eastAsia="仿宋_GB2312" w:cs="仿宋_GB2312"/>
              </w:rPr>
            </w:pPr>
            <w:r>
              <w:rPr>
                <w:rFonts w:hint="eastAsia" w:ascii="仿宋_GB2312" w:hAnsi="仿宋_GB2312" w:eastAsia="仿宋_GB2312" w:cs="仿宋_GB2312"/>
                <w:spacing w:val="1"/>
              </w:rPr>
              <w:t>10.外籍教师配备</w:t>
            </w:r>
          </w:p>
        </w:tc>
        <w:tc>
          <w:tcPr>
            <w:tcW w:w="5595" w:type="dxa"/>
            <w:vAlign w:val="top"/>
          </w:tcPr>
          <w:p>
            <w:pPr>
              <w:pStyle w:val="8"/>
              <w:spacing w:before="68" w:line="211" w:lineRule="auto"/>
              <w:ind w:left="2"/>
              <w:rPr>
                <w:rFonts w:hint="eastAsia" w:ascii="仿宋_GB2312" w:hAnsi="仿宋_GB2312" w:eastAsia="仿宋_GB2312" w:cs="仿宋_GB2312"/>
              </w:rPr>
            </w:pPr>
            <w:r>
              <w:rPr>
                <w:rFonts w:hint="eastAsia" w:ascii="仿宋_GB2312" w:hAnsi="仿宋_GB2312" w:eastAsia="仿宋_GB2312" w:cs="仿宋_GB2312"/>
                <w:spacing w:val="1"/>
              </w:rPr>
              <w:t>3</w:t>
            </w:r>
            <w:r>
              <w:rPr>
                <w:rFonts w:hint="eastAsia" w:ascii="仿宋_GB2312" w:hAnsi="仿宋_GB2312" w:eastAsia="仿宋_GB2312" w:cs="仿宋_GB2312"/>
                <w:spacing w:val="1"/>
                <w:lang w:val="en-US" w:eastAsia="zh-CN"/>
              </w:rPr>
              <w:t>2.</w:t>
            </w:r>
            <w:r>
              <w:rPr>
                <w:rFonts w:hint="eastAsia" w:ascii="仿宋_GB2312" w:hAnsi="仿宋_GB2312" w:eastAsia="仿宋_GB2312" w:cs="仿宋_GB2312"/>
                <w:spacing w:val="1"/>
              </w:rPr>
              <w:t>外籍教师数量*</w:t>
            </w:r>
          </w:p>
        </w:tc>
        <w:tc>
          <w:tcPr>
            <w:tcW w:w="1509" w:type="dxa"/>
            <w:vAlign w:val="top"/>
          </w:tcPr>
          <w:p>
            <w:pPr>
              <w:pStyle w:val="8"/>
              <w:spacing w:before="75" w:line="207" w:lineRule="auto"/>
              <w:ind w:left="607"/>
              <w:rPr>
                <w:rFonts w:hint="eastAsia" w:ascii="仿宋_GB2312" w:hAnsi="仿宋_GB2312" w:eastAsia="仿宋_GB2312" w:cs="仿宋_GB2312"/>
              </w:rPr>
            </w:pPr>
            <w:r>
              <w:rPr>
                <w:rFonts w:hint="eastAsia" w:ascii="仿宋_GB2312" w:hAnsi="仿宋_GB2312" w:eastAsia="仿宋_GB2312" w:cs="仿宋_GB2312"/>
              </w:rPr>
              <w:t>人</w:t>
            </w:r>
          </w:p>
        </w:tc>
        <w:tc>
          <w:tcPr>
            <w:tcW w:w="1603" w:type="dxa"/>
            <w:vAlign w:val="top"/>
          </w:tcPr>
          <w:p>
            <w:pPr>
              <w:pStyle w:val="8"/>
              <w:spacing w:before="70" w:line="210"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344" w:type="dxa"/>
            <w:vMerge w:val="continue"/>
            <w:tcBorders>
              <w:top w:val="nil"/>
              <w:bottom w:val="nil"/>
            </w:tcBorders>
            <w:vAlign w:val="top"/>
          </w:tcPr>
          <w:p>
            <w:pPr>
              <w:rPr>
                <w:rFonts w:hint="eastAsia" w:ascii="仿宋_GB2312" w:hAnsi="仿宋_GB2312" w:eastAsia="仿宋_GB2312" w:cs="仿宋_GB2312"/>
                <w:sz w:val="21"/>
              </w:rPr>
            </w:pPr>
          </w:p>
        </w:tc>
        <w:tc>
          <w:tcPr>
            <w:tcW w:w="2868" w:type="dxa"/>
            <w:vAlign w:val="top"/>
          </w:tcPr>
          <w:p>
            <w:pPr>
              <w:pStyle w:val="8"/>
              <w:spacing w:before="81" w:line="210" w:lineRule="auto"/>
              <w:ind w:left="10"/>
              <w:rPr>
                <w:rFonts w:hint="eastAsia" w:ascii="仿宋_GB2312" w:hAnsi="仿宋_GB2312" w:eastAsia="仿宋_GB2312" w:cs="仿宋_GB2312"/>
              </w:rPr>
            </w:pPr>
            <w:r>
              <w:rPr>
                <w:rFonts w:hint="eastAsia" w:ascii="仿宋_GB2312" w:hAnsi="仿宋_GB2312" w:eastAsia="仿宋_GB2312" w:cs="仿宋_GB2312"/>
                <w:spacing w:val="2"/>
              </w:rPr>
              <w:t>1</w:t>
            </w:r>
            <w:r>
              <w:rPr>
                <w:rFonts w:hint="eastAsia" w:ascii="仿宋_GB2312" w:hAnsi="仿宋_GB2312" w:eastAsia="仿宋_GB2312" w:cs="仿宋_GB2312"/>
                <w:spacing w:val="2"/>
                <w:lang w:val="en-US" w:eastAsia="zh-CN"/>
              </w:rPr>
              <w:t>1.</w:t>
            </w:r>
            <w:r>
              <w:rPr>
                <w:rFonts w:hint="eastAsia" w:ascii="仿宋_GB2312" w:hAnsi="仿宋_GB2312" w:eastAsia="仿宋_GB2312" w:cs="仿宋_GB2312"/>
                <w:spacing w:val="2"/>
              </w:rPr>
              <w:t>生师比</w:t>
            </w:r>
          </w:p>
        </w:tc>
        <w:tc>
          <w:tcPr>
            <w:tcW w:w="5595" w:type="dxa"/>
            <w:vAlign w:val="top"/>
          </w:tcPr>
          <w:p>
            <w:pPr>
              <w:pStyle w:val="8"/>
              <w:spacing w:before="81" w:line="210" w:lineRule="auto"/>
              <w:ind w:left="2"/>
              <w:rPr>
                <w:rFonts w:hint="eastAsia" w:ascii="仿宋_GB2312" w:hAnsi="仿宋_GB2312" w:eastAsia="仿宋_GB2312" w:cs="仿宋_GB2312"/>
              </w:rPr>
            </w:pPr>
            <w:r>
              <w:rPr>
                <w:rFonts w:hint="eastAsia" w:ascii="仿宋_GB2312" w:hAnsi="仿宋_GB2312" w:eastAsia="仿宋_GB2312" w:cs="仿宋_GB2312"/>
                <w:spacing w:val="2"/>
              </w:rPr>
              <w:t>3</w:t>
            </w:r>
            <w:r>
              <w:rPr>
                <w:rFonts w:hint="eastAsia" w:ascii="仿宋_GB2312" w:hAnsi="仿宋_GB2312" w:eastAsia="仿宋_GB2312" w:cs="仿宋_GB2312"/>
                <w:spacing w:val="2"/>
                <w:lang w:val="en-US" w:eastAsia="zh-CN"/>
              </w:rPr>
              <w:t>3.</w:t>
            </w:r>
            <w:r>
              <w:rPr>
                <w:rFonts w:hint="eastAsia" w:ascii="仿宋_GB2312" w:hAnsi="仿宋_GB2312" w:eastAsia="仿宋_GB2312" w:cs="仿宋_GB2312"/>
                <w:spacing w:val="2"/>
              </w:rPr>
              <w:t>生师比</w:t>
            </w:r>
          </w:p>
        </w:tc>
        <w:tc>
          <w:tcPr>
            <w:tcW w:w="1509" w:type="dxa"/>
            <w:vAlign w:val="top"/>
          </w:tcPr>
          <w:p>
            <w:pPr>
              <w:pStyle w:val="8"/>
              <w:spacing w:before="89" w:line="205" w:lineRule="auto"/>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603" w:type="dxa"/>
            <w:vAlign w:val="top"/>
          </w:tcPr>
          <w:p>
            <w:pPr>
              <w:pStyle w:val="8"/>
              <w:spacing w:before="81" w:line="210"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344" w:type="dxa"/>
            <w:vMerge w:val="continue"/>
            <w:tcBorders>
              <w:top w:val="nil"/>
            </w:tcBorders>
            <w:vAlign w:val="top"/>
          </w:tcPr>
          <w:p>
            <w:pPr>
              <w:rPr>
                <w:rFonts w:hint="eastAsia" w:ascii="仿宋_GB2312" w:hAnsi="仿宋_GB2312" w:eastAsia="仿宋_GB2312" w:cs="仿宋_GB2312"/>
                <w:sz w:val="21"/>
              </w:rPr>
            </w:pPr>
          </w:p>
        </w:tc>
        <w:tc>
          <w:tcPr>
            <w:tcW w:w="2868" w:type="dxa"/>
            <w:vAlign w:val="top"/>
          </w:tcPr>
          <w:p>
            <w:pPr>
              <w:pStyle w:val="8"/>
              <w:spacing w:before="73" w:line="211" w:lineRule="auto"/>
              <w:ind w:left="10"/>
              <w:rPr>
                <w:rFonts w:hint="eastAsia" w:ascii="仿宋_GB2312" w:hAnsi="仿宋_GB2312" w:eastAsia="仿宋_GB2312" w:cs="仿宋_GB2312"/>
              </w:rPr>
            </w:pPr>
            <w:r>
              <w:rPr>
                <w:rFonts w:hint="eastAsia" w:ascii="仿宋_GB2312" w:hAnsi="仿宋_GB2312" w:eastAsia="仿宋_GB2312" w:cs="仿宋_GB2312"/>
                <w:spacing w:val="2"/>
              </w:rPr>
              <w:t>1</w:t>
            </w:r>
            <w:r>
              <w:rPr>
                <w:rFonts w:hint="eastAsia" w:ascii="仿宋_GB2312" w:hAnsi="仿宋_GB2312" w:eastAsia="仿宋_GB2312" w:cs="仿宋_GB2312"/>
                <w:spacing w:val="2"/>
                <w:lang w:val="en-US" w:eastAsia="zh-CN"/>
              </w:rPr>
              <w:t>2.</w:t>
            </w:r>
            <w:r>
              <w:rPr>
                <w:rFonts w:hint="eastAsia" w:ascii="仿宋_GB2312" w:hAnsi="仿宋_GB2312" w:eastAsia="仿宋_GB2312" w:cs="仿宋_GB2312"/>
                <w:spacing w:val="2"/>
              </w:rPr>
              <w:t>银龄计划</w:t>
            </w:r>
          </w:p>
        </w:tc>
        <w:tc>
          <w:tcPr>
            <w:tcW w:w="5595" w:type="dxa"/>
            <w:vAlign w:val="top"/>
          </w:tcPr>
          <w:p>
            <w:pPr>
              <w:pStyle w:val="8"/>
              <w:spacing w:before="70" w:line="213" w:lineRule="auto"/>
              <w:ind w:left="2"/>
              <w:rPr>
                <w:rFonts w:hint="eastAsia" w:ascii="仿宋_GB2312" w:hAnsi="仿宋_GB2312" w:eastAsia="仿宋_GB2312" w:cs="仿宋_GB2312"/>
              </w:rPr>
            </w:pPr>
            <w:r>
              <w:rPr>
                <w:rFonts w:hint="eastAsia" w:ascii="仿宋_GB2312" w:hAnsi="仿宋_GB2312" w:eastAsia="仿宋_GB2312" w:cs="仿宋_GB2312"/>
                <w:spacing w:val="1"/>
              </w:rPr>
              <w:t>3</w:t>
            </w:r>
            <w:r>
              <w:rPr>
                <w:rFonts w:hint="eastAsia" w:ascii="仿宋_GB2312" w:hAnsi="仿宋_GB2312" w:eastAsia="仿宋_GB2312" w:cs="仿宋_GB2312"/>
                <w:spacing w:val="1"/>
                <w:lang w:val="en-US" w:eastAsia="zh-CN"/>
              </w:rPr>
              <w:t>4.</w:t>
            </w:r>
            <w:r>
              <w:rPr>
                <w:rFonts w:hint="eastAsia" w:ascii="仿宋_GB2312" w:hAnsi="仿宋_GB2312" w:eastAsia="仿宋_GB2312" w:cs="仿宋_GB2312"/>
                <w:spacing w:val="1"/>
              </w:rPr>
              <w:t>银龄教师数量*</w:t>
            </w:r>
          </w:p>
        </w:tc>
        <w:tc>
          <w:tcPr>
            <w:tcW w:w="1509" w:type="dxa"/>
            <w:vAlign w:val="top"/>
          </w:tcPr>
          <w:p>
            <w:pPr>
              <w:pStyle w:val="8"/>
              <w:spacing w:before="75" w:line="210" w:lineRule="auto"/>
              <w:ind w:left="607"/>
              <w:rPr>
                <w:rFonts w:hint="eastAsia" w:ascii="仿宋_GB2312" w:hAnsi="仿宋_GB2312" w:eastAsia="仿宋_GB2312" w:cs="仿宋_GB2312"/>
              </w:rPr>
            </w:pPr>
            <w:r>
              <w:rPr>
                <w:rFonts w:hint="eastAsia" w:ascii="仿宋_GB2312" w:hAnsi="仿宋_GB2312" w:eastAsia="仿宋_GB2312" w:cs="仿宋_GB2312"/>
              </w:rPr>
              <w:t>人</w:t>
            </w:r>
          </w:p>
        </w:tc>
        <w:tc>
          <w:tcPr>
            <w:tcW w:w="1603" w:type="dxa"/>
            <w:vAlign w:val="top"/>
          </w:tcPr>
          <w:p>
            <w:pPr>
              <w:pStyle w:val="8"/>
              <w:spacing w:before="70" w:line="213" w:lineRule="auto"/>
              <w:ind w:left="31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bl>
    <w:p>
      <w:pPr>
        <w:rPr>
          <w:rFonts w:hint="eastAsia" w:ascii="仿宋_GB2312" w:hAnsi="仿宋_GB2312" w:eastAsia="仿宋_GB2312" w:cs="仿宋_GB2312"/>
          <w:sz w:val="21"/>
        </w:rPr>
      </w:pPr>
    </w:p>
    <w:p>
      <w:pPr>
        <w:rPr>
          <w:rFonts w:hint="eastAsia" w:ascii="仿宋_GB2312" w:hAnsi="仿宋_GB2312" w:eastAsia="仿宋_GB2312" w:cs="仿宋_GB2312"/>
          <w:sz w:val="21"/>
          <w:szCs w:val="21"/>
        </w:rPr>
        <w:sectPr>
          <w:footerReference r:id="rId6" w:type="default"/>
          <w:pgSz w:w="16840" w:h="11910"/>
          <w:pgMar w:top="1012" w:right="2174" w:bottom="1007" w:left="1845" w:header="0" w:footer="881" w:gutter="0"/>
          <w:pgNumType w:fmt="numberInDash"/>
          <w:cols w:space="720" w:num="1"/>
        </w:sectPr>
      </w:pPr>
    </w:p>
    <w:p>
      <w:pPr>
        <w:spacing w:before="39"/>
        <w:rPr>
          <w:rFonts w:hint="eastAsia" w:ascii="仿宋_GB2312" w:hAnsi="仿宋_GB2312" w:eastAsia="仿宋_GB2312" w:cs="仿宋_GB2312"/>
        </w:rPr>
      </w:pPr>
    </w:p>
    <w:tbl>
      <w:tblPr>
        <w:tblStyle w:val="7"/>
        <w:tblW w:w="128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4"/>
        <w:gridCol w:w="2878"/>
        <w:gridCol w:w="5595"/>
        <w:gridCol w:w="1499"/>
        <w:gridCol w:w="15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334" w:type="dxa"/>
            <w:vMerge w:val="restart"/>
            <w:tcBorders>
              <w:bottom w:val="nil"/>
            </w:tcBorders>
            <w:vAlign w:val="top"/>
          </w:tcPr>
          <w:p>
            <w:pPr>
              <w:rPr>
                <w:rFonts w:hint="eastAsia" w:ascii="仿宋_GB2312" w:hAnsi="仿宋_GB2312" w:eastAsia="仿宋_GB2312" w:cs="仿宋_GB2312"/>
                <w:sz w:val="21"/>
              </w:rPr>
            </w:pPr>
          </w:p>
        </w:tc>
        <w:tc>
          <w:tcPr>
            <w:tcW w:w="2878" w:type="dxa"/>
            <w:vAlign w:val="top"/>
          </w:tcPr>
          <w:p>
            <w:pPr>
              <w:pStyle w:val="8"/>
              <w:spacing w:before="65" w:line="217" w:lineRule="auto"/>
              <w:jc w:val="right"/>
              <w:rPr>
                <w:rFonts w:hint="eastAsia" w:ascii="仿宋_GB2312" w:hAnsi="仿宋_GB2312" w:eastAsia="仿宋_GB2312" w:cs="仿宋_GB2312"/>
              </w:rPr>
            </w:pPr>
            <w:r>
              <w:rPr>
                <w:rFonts w:hint="eastAsia" w:ascii="仿宋_GB2312" w:hAnsi="仿宋_GB2312" w:eastAsia="仿宋_GB2312" w:cs="仿宋_GB2312"/>
                <w:spacing w:val="-9"/>
              </w:rPr>
              <w:t>1</w:t>
            </w:r>
            <w:r>
              <w:rPr>
                <w:rFonts w:hint="eastAsia" w:ascii="仿宋_GB2312" w:hAnsi="仿宋_GB2312" w:eastAsia="仿宋_GB2312" w:cs="仿宋_GB2312"/>
                <w:spacing w:val="-9"/>
                <w:lang w:val="en-US" w:eastAsia="zh-CN"/>
              </w:rPr>
              <w:t>3.</w:t>
            </w:r>
            <w:r>
              <w:rPr>
                <w:rFonts w:hint="eastAsia" w:ascii="仿宋_GB2312" w:hAnsi="仿宋_GB2312" w:eastAsia="仿宋_GB2312" w:cs="仿宋_GB2312"/>
                <w:spacing w:val="-9"/>
              </w:rPr>
              <w:t>“双师”型教师配备</w:t>
            </w:r>
          </w:p>
        </w:tc>
        <w:tc>
          <w:tcPr>
            <w:tcW w:w="5595" w:type="dxa"/>
            <w:vAlign w:val="top"/>
          </w:tcPr>
          <w:p>
            <w:pPr>
              <w:pStyle w:val="8"/>
              <w:spacing w:before="65" w:line="217" w:lineRule="auto"/>
              <w:ind w:left="12"/>
              <w:rPr>
                <w:rFonts w:hint="eastAsia" w:ascii="仿宋_GB2312" w:hAnsi="仿宋_GB2312" w:eastAsia="仿宋_GB2312" w:cs="仿宋_GB2312"/>
              </w:rPr>
            </w:pPr>
            <w:r>
              <w:rPr>
                <w:rFonts w:hint="eastAsia" w:ascii="仿宋_GB2312" w:hAnsi="仿宋_GB2312" w:eastAsia="仿宋_GB2312" w:cs="仿宋_GB2312"/>
                <w:spacing w:val="-1"/>
              </w:rPr>
              <w:t>3</w:t>
            </w:r>
            <w:r>
              <w:rPr>
                <w:rFonts w:hint="eastAsia" w:ascii="仿宋_GB2312" w:hAnsi="仿宋_GB2312" w:eastAsia="仿宋_GB2312" w:cs="仿宋_GB2312"/>
                <w:spacing w:val="-1"/>
                <w:lang w:val="en-US" w:eastAsia="zh-CN"/>
              </w:rPr>
              <w:t>5.</w:t>
            </w:r>
            <w:r>
              <w:rPr>
                <w:rFonts w:hint="eastAsia" w:ascii="仿宋_GB2312" w:hAnsi="仿宋_GB2312" w:eastAsia="仿宋_GB2312" w:cs="仿宋_GB2312"/>
                <w:spacing w:val="-1"/>
              </w:rPr>
              <w:t>“双师”型教师占专业课教师总数的比例</w:t>
            </w:r>
          </w:p>
        </w:tc>
        <w:tc>
          <w:tcPr>
            <w:tcW w:w="1499" w:type="dxa"/>
            <w:vAlign w:val="top"/>
          </w:tcPr>
          <w:p>
            <w:pPr>
              <w:pStyle w:val="8"/>
              <w:spacing w:before="94" w:line="198" w:lineRule="auto"/>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503" w:type="dxa"/>
            <w:vAlign w:val="top"/>
          </w:tcPr>
          <w:p>
            <w:pPr>
              <w:pStyle w:val="8"/>
              <w:spacing w:before="93" w:line="199" w:lineRule="auto"/>
              <w:ind w:left="468"/>
              <w:rPr>
                <w:rFonts w:hint="eastAsia" w:ascii="仿宋_GB2312" w:hAnsi="仿宋_GB2312" w:eastAsia="仿宋_GB2312" w:cs="仿宋_GB2312"/>
              </w:rPr>
            </w:pPr>
            <w:r>
              <w:rPr>
                <w:rFonts w:hint="eastAsia" w:ascii="仿宋_GB2312" w:hAnsi="仿宋_GB2312" w:eastAsia="仿宋_GB2312" w:cs="仿宋_GB2312"/>
                <w:spacing w:val="-10"/>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Align w:val="top"/>
          </w:tcPr>
          <w:p>
            <w:pPr>
              <w:pStyle w:val="8"/>
              <w:spacing w:before="72" w:line="215" w:lineRule="auto"/>
              <w:ind w:left="30"/>
              <w:rPr>
                <w:rFonts w:hint="eastAsia" w:ascii="仿宋_GB2312" w:hAnsi="仿宋_GB2312" w:eastAsia="仿宋_GB2312" w:cs="仿宋_GB2312"/>
              </w:rPr>
            </w:pPr>
            <w:r>
              <w:rPr>
                <w:rFonts w:hint="eastAsia" w:ascii="仿宋_GB2312" w:hAnsi="仿宋_GB2312" w:eastAsia="仿宋_GB2312" w:cs="仿宋_GB2312"/>
                <w:spacing w:val="1"/>
              </w:rPr>
              <w:t>1</w:t>
            </w:r>
            <w:r>
              <w:rPr>
                <w:rFonts w:hint="eastAsia" w:ascii="仿宋_GB2312" w:hAnsi="仿宋_GB2312" w:eastAsia="仿宋_GB2312" w:cs="仿宋_GB2312"/>
                <w:spacing w:val="1"/>
                <w:lang w:val="en-US" w:eastAsia="zh-CN"/>
              </w:rPr>
              <w:t>4.</w:t>
            </w:r>
            <w:r>
              <w:rPr>
                <w:rFonts w:hint="eastAsia" w:ascii="仿宋_GB2312" w:hAnsi="仿宋_GB2312" w:eastAsia="仿宋_GB2312" w:cs="仿宋_GB2312"/>
                <w:spacing w:val="1"/>
              </w:rPr>
              <w:t>专职辅导员配备</w:t>
            </w:r>
          </w:p>
        </w:tc>
        <w:tc>
          <w:tcPr>
            <w:tcW w:w="5595" w:type="dxa"/>
            <w:vAlign w:val="top"/>
          </w:tcPr>
          <w:p>
            <w:pPr>
              <w:pStyle w:val="8"/>
              <w:spacing w:before="71" w:line="216" w:lineRule="auto"/>
              <w:ind w:left="12"/>
              <w:rPr>
                <w:rFonts w:hint="eastAsia" w:ascii="仿宋_GB2312" w:hAnsi="仿宋_GB2312" w:eastAsia="仿宋_GB2312" w:cs="仿宋_GB2312"/>
              </w:rPr>
            </w:pPr>
            <w:r>
              <w:rPr>
                <w:rFonts w:hint="eastAsia" w:ascii="仿宋_GB2312" w:hAnsi="仿宋_GB2312" w:eastAsia="仿宋_GB2312" w:cs="仿宋_GB2312"/>
                <w:spacing w:val="1"/>
              </w:rPr>
              <w:t>3</w:t>
            </w:r>
            <w:r>
              <w:rPr>
                <w:rFonts w:hint="eastAsia" w:ascii="仿宋_GB2312" w:hAnsi="仿宋_GB2312" w:eastAsia="仿宋_GB2312" w:cs="仿宋_GB2312"/>
                <w:spacing w:val="1"/>
                <w:lang w:val="en-US" w:eastAsia="zh-CN"/>
              </w:rPr>
              <w:t>6.</w:t>
            </w:r>
            <w:r>
              <w:rPr>
                <w:rFonts w:hint="eastAsia" w:ascii="仿宋_GB2312" w:hAnsi="仿宋_GB2312" w:eastAsia="仿宋_GB2312" w:cs="仿宋_GB2312"/>
                <w:spacing w:val="1"/>
              </w:rPr>
              <w:t>专职辅导员与全日制学生数之比</w:t>
            </w:r>
          </w:p>
        </w:tc>
        <w:tc>
          <w:tcPr>
            <w:tcW w:w="1499" w:type="dxa"/>
            <w:vAlign w:val="top"/>
          </w:tcPr>
          <w:p>
            <w:pPr>
              <w:pStyle w:val="8"/>
              <w:spacing w:before="78" w:line="211" w:lineRule="auto"/>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503" w:type="dxa"/>
            <w:vAlign w:val="top"/>
          </w:tcPr>
          <w:p>
            <w:pPr>
              <w:pStyle w:val="8"/>
              <w:spacing w:before="98" w:line="198" w:lineRule="auto"/>
              <w:ind w:left="258"/>
              <w:rPr>
                <w:rFonts w:hint="eastAsia" w:ascii="仿宋_GB2312" w:hAnsi="仿宋_GB2312" w:eastAsia="仿宋_GB2312" w:cs="仿宋_GB2312"/>
              </w:rPr>
            </w:pPr>
            <w:r>
              <w:rPr>
                <w:rFonts w:hint="eastAsia" w:ascii="仿宋_GB2312" w:hAnsi="仿宋_GB2312" w:eastAsia="仿宋_GB2312" w:cs="仿宋_GB2312"/>
                <w:spacing w:val="-6"/>
              </w:rPr>
              <w:t>≥1:200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Align w:val="top"/>
          </w:tcPr>
          <w:p>
            <w:pPr>
              <w:pStyle w:val="8"/>
              <w:spacing w:before="62" w:line="216" w:lineRule="auto"/>
              <w:jc w:val="right"/>
              <w:rPr>
                <w:rFonts w:hint="eastAsia" w:ascii="仿宋_GB2312" w:hAnsi="仿宋_GB2312" w:eastAsia="仿宋_GB2312" w:cs="仿宋_GB2312"/>
              </w:rPr>
            </w:pPr>
            <w:r>
              <w:rPr>
                <w:rFonts w:hint="eastAsia" w:ascii="仿宋_GB2312" w:hAnsi="仿宋_GB2312" w:eastAsia="仿宋_GB2312" w:cs="仿宋_GB2312"/>
                <w:spacing w:val="-7"/>
              </w:rPr>
              <w:t>1</w:t>
            </w:r>
            <w:r>
              <w:rPr>
                <w:rFonts w:hint="eastAsia" w:ascii="仿宋_GB2312" w:hAnsi="仿宋_GB2312" w:eastAsia="仿宋_GB2312" w:cs="仿宋_GB2312"/>
                <w:spacing w:val="-7"/>
                <w:lang w:val="en-US" w:eastAsia="zh-CN"/>
              </w:rPr>
              <w:t>5.</w:t>
            </w:r>
            <w:r>
              <w:rPr>
                <w:rFonts w:hint="eastAsia" w:ascii="仿宋_GB2312" w:hAnsi="仿宋_GB2312" w:eastAsia="仿宋_GB2312" w:cs="仿宋_GB2312"/>
                <w:spacing w:val="-7"/>
              </w:rPr>
              <w:t>专职思政课教师配备</w:t>
            </w:r>
          </w:p>
        </w:tc>
        <w:tc>
          <w:tcPr>
            <w:tcW w:w="5595" w:type="dxa"/>
            <w:vAlign w:val="top"/>
          </w:tcPr>
          <w:p>
            <w:pPr>
              <w:pStyle w:val="8"/>
              <w:spacing w:before="62" w:line="216" w:lineRule="auto"/>
              <w:ind w:left="12"/>
              <w:rPr>
                <w:rFonts w:hint="eastAsia" w:ascii="仿宋_GB2312" w:hAnsi="仿宋_GB2312" w:eastAsia="仿宋_GB2312" w:cs="仿宋_GB2312"/>
              </w:rPr>
            </w:pPr>
            <w:r>
              <w:rPr>
                <w:rFonts w:hint="eastAsia" w:ascii="仿宋_GB2312" w:hAnsi="仿宋_GB2312" w:eastAsia="仿宋_GB2312" w:cs="仿宋_GB2312"/>
              </w:rPr>
              <w:t>37.专职思政课教师与全日制学生数之比</w:t>
            </w:r>
          </w:p>
        </w:tc>
        <w:tc>
          <w:tcPr>
            <w:tcW w:w="1499" w:type="dxa"/>
            <w:vAlign w:val="top"/>
          </w:tcPr>
          <w:p>
            <w:pPr>
              <w:pStyle w:val="8"/>
              <w:spacing w:before="69" w:line="211" w:lineRule="auto"/>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503" w:type="dxa"/>
            <w:vAlign w:val="top"/>
          </w:tcPr>
          <w:p>
            <w:pPr>
              <w:pStyle w:val="8"/>
              <w:spacing w:before="89" w:line="198" w:lineRule="auto"/>
              <w:ind w:left="258"/>
              <w:rPr>
                <w:rFonts w:hint="eastAsia" w:ascii="仿宋_GB2312" w:hAnsi="仿宋_GB2312" w:eastAsia="仿宋_GB2312" w:cs="仿宋_GB2312"/>
              </w:rPr>
            </w:pPr>
            <w:r>
              <w:rPr>
                <w:rFonts w:hint="eastAsia" w:ascii="仿宋_GB2312" w:hAnsi="仿宋_GB2312" w:eastAsia="仿宋_GB2312" w:cs="仿宋_GB2312"/>
                <w:spacing w:val="-6"/>
              </w:rPr>
              <w:t>≥1:350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1"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Align w:val="top"/>
          </w:tcPr>
          <w:p>
            <w:pPr>
              <w:pStyle w:val="8"/>
              <w:spacing w:before="291" w:line="253" w:lineRule="auto"/>
              <w:ind w:left="30" w:hanging="20"/>
              <w:rPr>
                <w:rFonts w:hint="eastAsia" w:ascii="仿宋_GB2312" w:hAnsi="仿宋_GB2312" w:eastAsia="仿宋_GB2312" w:cs="仿宋_GB2312"/>
              </w:rPr>
            </w:pPr>
            <w:r>
              <w:rPr>
                <w:rFonts w:hint="eastAsia" w:ascii="仿宋_GB2312" w:hAnsi="仿宋_GB2312" w:eastAsia="仿宋_GB2312" w:cs="仿宋_GB2312"/>
                <w:spacing w:val="-7"/>
              </w:rPr>
              <w:t>1</w:t>
            </w:r>
            <w:r>
              <w:rPr>
                <w:rFonts w:hint="eastAsia" w:ascii="仿宋_GB2312" w:hAnsi="仿宋_GB2312" w:eastAsia="仿宋_GB2312" w:cs="仿宋_GB2312"/>
                <w:spacing w:val="-7"/>
                <w:lang w:val="en-US" w:eastAsia="zh-CN"/>
              </w:rPr>
              <w:t>6.</w:t>
            </w:r>
            <w:r>
              <w:rPr>
                <w:rFonts w:hint="eastAsia" w:ascii="仿宋_GB2312" w:hAnsi="仿宋_GB2312" w:eastAsia="仿宋_GB2312" w:cs="仿宋_GB2312"/>
                <w:spacing w:val="-7"/>
              </w:rPr>
              <w:t>专职心理健康教师配</w:t>
            </w:r>
            <w:r>
              <w:rPr>
                <w:rFonts w:hint="eastAsia" w:ascii="仿宋_GB2312" w:hAnsi="仿宋_GB2312" w:eastAsia="仿宋_GB2312" w:cs="仿宋_GB2312"/>
              </w:rPr>
              <w:t>备</w:t>
            </w:r>
          </w:p>
        </w:tc>
        <w:tc>
          <w:tcPr>
            <w:tcW w:w="5595" w:type="dxa"/>
            <w:vAlign w:val="top"/>
          </w:tcPr>
          <w:p>
            <w:pPr>
              <w:pStyle w:val="8"/>
              <w:spacing w:before="262" w:line="281" w:lineRule="auto"/>
              <w:ind w:left="12" w:right="101"/>
              <w:rPr>
                <w:rFonts w:hint="eastAsia" w:ascii="仿宋_GB2312" w:hAnsi="仿宋_GB2312" w:eastAsia="仿宋_GB2312" w:cs="仿宋_GB2312"/>
              </w:rPr>
            </w:pPr>
            <w:r>
              <w:rPr>
                <w:rFonts w:hint="eastAsia" w:ascii="仿宋_GB2312" w:hAnsi="仿宋_GB2312" w:eastAsia="仿宋_GB2312" w:cs="仿宋_GB2312"/>
              </w:rPr>
              <w:t>38.专职心理健康教育教师与全日制学生数之比</w:t>
            </w:r>
          </w:p>
        </w:tc>
        <w:tc>
          <w:tcPr>
            <w:tcW w:w="1499" w:type="dxa"/>
            <w:vAlign w:val="top"/>
          </w:tcPr>
          <w:p>
            <w:pPr>
              <w:spacing w:line="377" w:lineRule="auto"/>
              <w:rPr>
                <w:rFonts w:hint="eastAsia" w:ascii="仿宋_GB2312" w:hAnsi="仿宋_GB2312" w:eastAsia="仿宋_GB2312" w:cs="仿宋_GB2312"/>
                <w:sz w:val="21"/>
              </w:rPr>
            </w:pPr>
          </w:p>
          <w:p>
            <w:pPr>
              <w:pStyle w:val="8"/>
              <w:spacing w:before="91" w:line="224" w:lineRule="auto"/>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503" w:type="dxa"/>
            <w:vAlign w:val="top"/>
          </w:tcPr>
          <w:p>
            <w:pPr>
              <w:pStyle w:val="8"/>
              <w:spacing w:before="98" w:line="216" w:lineRule="auto"/>
              <w:ind w:left="118"/>
              <w:rPr>
                <w:rFonts w:hint="eastAsia" w:ascii="仿宋_GB2312" w:hAnsi="仿宋_GB2312" w:eastAsia="仿宋_GB2312" w:cs="仿宋_GB2312"/>
              </w:rPr>
            </w:pPr>
            <w:r>
              <w:rPr>
                <w:rFonts w:hint="eastAsia" w:ascii="仿宋_GB2312" w:hAnsi="仿宋_GB2312" w:eastAsia="仿宋_GB2312" w:cs="仿宋_GB2312"/>
                <w:spacing w:val="-5"/>
              </w:rPr>
              <w:t>≥1:4000,</w:t>
            </w:r>
          </w:p>
          <w:p>
            <w:pPr>
              <w:pStyle w:val="8"/>
              <w:spacing w:before="77" w:line="221" w:lineRule="auto"/>
              <w:ind w:left="48"/>
              <w:rPr>
                <w:rFonts w:hint="eastAsia" w:ascii="仿宋_GB2312" w:hAnsi="仿宋_GB2312" w:eastAsia="仿宋_GB2312" w:cs="仿宋_GB2312"/>
              </w:rPr>
            </w:pPr>
            <w:r>
              <w:rPr>
                <w:rFonts w:hint="eastAsia" w:ascii="仿宋_GB2312" w:hAnsi="仿宋_GB2312" w:eastAsia="仿宋_GB2312" w:cs="仿宋_GB2312"/>
                <w:spacing w:val="2"/>
              </w:rPr>
              <w:t>且至少配备</w:t>
            </w:r>
          </w:p>
          <w:p>
            <w:pPr>
              <w:pStyle w:val="8"/>
              <w:spacing w:before="68" w:line="185" w:lineRule="auto"/>
              <w:ind w:left="468"/>
              <w:rPr>
                <w:rFonts w:hint="eastAsia" w:ascii="仿宋_GB2312" w:hAnsi="仿宋_GB2312" w:eastAsia="仿宋_GB2312" w:cs="仿宋_GB2312"/>
              </w:rPr>
            </w:pPr>
            <w:r>
              <w:rPr>
                <w:rFonts w:hint="eastAsia" w:ascii="仿宋_GB2312" w:hAnsi="仿宋_GB2312" w:eastAsia="仿宋_GB2312" w:cs="仿宋_GB2312"/>
                <w:spacing w:val="-1"/>
              </w:rPr>
              <w:t>2人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restart"/>
            <w:tcBorders>
              <w:bottom w:val="nil"/>
            </w:tcBorders>
            <w:vAlign w:val="top"/>
          </w:tcPr>
          <w:p>
            <w:pPr>
              <w:spacing w:line="262" w:lineRule="auto"/>
              <w:rPr>
                <w:rFonts w:hint="eastAsia" w:ascii="仿宋_GB2312" w:hAnsi="仿宋_GB2312" w:eastAsia="仿宋_GB2312" w:cs="仿宋_GB2312"/>
                <w:sz w:val="21"/>
              </w:rPr>
            </w:pPr>
          </w:p>
          <w:p>
            <w:pPr>
              <w:spacing w:line="263" w:lineRule="auto"/>
              <w:rPr>
                <w:rFonts w:hint="eastAsia" w:ascii="仿宋_GB2312" w:hAnsi="仿宋_GB2312" w:eastAsia="仿宋_GB2312" w:cs="仿宋_GB2312"/>
                <w:sz w:val="21"/>
              </w:rPr>
            </w:pPr>
          </w:p>
          <w:p>
            <w:pPr>
              <w:spacing w:line="263" w:lineRule="auto"/>
              <w:rPr>
                <w:rFonts w:hint="eastAsia" w:ascii="仿宋_GB2312" w:hAnsi="仿宋_GB2312" w:eastAsia="仿宋_GB2312" w:cs="仿宋_GB2312"/>
                <w:sz w:val="21"/>
              </w:rPr>
            </w:pPr>
          </w:p>
          <w:p>
            <w:pPr>
              <w:pStyle w:val="8"/>
              <w:spacing w:before="91" w:line="219" w:lineRule="auto"/>
              <w:ind w:left="30"/>
              <w:rPr>
                <w:rFonts w:hint="eastAsia" w:ascii="仿宋_GB2312" w:hAnsi="仿宋_GB2312" w:eastAsia="仿宋_GB2312" w:cs="仿宋_GB2312"/>
              </w:rPr>
            </w:pPr>
            <w:r>
              <w:rPr>
                <w:rFonts w:hint="eastAsia" w:ascii="仿宋_GB2312" w:hAnsi="仿宋_GB2312" w:eastAsia="仿宋_GB2312" w:cs="仿宋_GB2312"/>
                <w:spacing w:val="2"/>
              </w:rPr>
              <w:t>17.教师职业能力</w:t>
            </w:r>
          </w:p>
        </w:tc>
        <w:tc>
          <w:tcPr>
            <w:tcW w:w="5595" w:type="dxa"/>
            <w:vAlign w:val="top"/>
          </w:tcPr>
          <w:p>
            <w:pPr>
              <w:pStyle w:val="8"/>
              <w:spacing w:before="63" w:line="215" w:lineRule="auto"/>
              <w:ind w:left="12"/>
              <w:rPr>
                <w:rFonts w:hint="eastAsia" w:ascii="仿宋_GB2312" w:hAnsi="仿宋_GB2312" w:eastAsia="仿宋_GB2312" w:cs="仿宋_GB2312"/>
              </w:rPr>
            </w:pPr>
            <w:r>
              <w:rPr>
                <w:rFonts w:hint="eastAsia" w:ascii="仿宋_GB2312" w:hAnsi="仿宋_GB2312" w:eastAsia="仿宋_GB2312" w:cs="仿宋_GB2312"/>
                <w:spacing w:val="1"/>
              </w:rPr>
              <w:t>39.具有研究生学位教师占专任教师的比例</w:t>
            </w:r>
          </w:p>
        </w:tc>
        <w:tc>
          <w:tcPr>
            <w:tcW w:w="1499" w:type="dxa"/>
            <w:vAlign w:val="top"/>
          </w:tcPr>
          <w:p>
            <w:pPr>
              <w:pStyle w:val="8"/>
              <w:spacing w:before="92" w:line="196" w:lineRule="auto"/>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503" w:type="dxa"/>
            <w:vAlign w:val="top"/>
          </w:tcPr>
          <w:p>
            <w:pPr>
              <w:pStyle w:val="8"/>
              <w:spacing w:before="91" w:line="197" w:lineRule="auto"/>
              <w:ind w:left="468"/>
              <w:rPr>
                <w:rFonts w:hint="eastAsia" w:ascii="仿宋_GB2312" w:hAnsi="仿宋_GB2312" w:eastAsia="仿宋_GB2312" w:cs="仿宋_GB2312"/>
              </w:rPr>
            </w:pPr>
            <w:r>
              <w:rPr>
                <w:rFonts w:hint="eastAsia" w:ascii="仿宋_GB2312" w:hAnsi="仿宋_GB2312" w:eastAsia="仿宋_GB2312" w:cs="仿宋_GB2312"/>
                <w:spacing w:val="-10"/>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bottom w:val="nil"/>
            </w:tcBorders>
            <w:vAlign w:val="top"/>
          </w:tcPr>
          <w:p>
            <w:pPr>
              <w:rPr>
                <w:rFonts w:hint="eastAsia" w:ascii="仿宋_GB2312" w:hAnsi="仿宋_GB2312" w:eastAsia="仿宋_GB2312" w:cs="仿宋_GB2312"/>
                <w:sz w:val="21"/>
              </w:rPr>
            </w:pPr>
          </w:p>
        </w:tc>
        <w:tc>
          <w:tcPr>
            <w:tcW w:w="5595" w:type="dxa"/>
            <w:vAlign w:val="top"/>
          </w:tcPr>
          <w:p>
            <w:pPr>
              <w:pStyle w:val="8"/>
              <w:spacing w:before="74" w:line="242" w:lineRule="auto"/>
              <w:ind w:left="12" w:right="90"/>
              <w:rPr>
                <w:rFonts w:hint="eastAsia" w:ascii="仿宋_GB2312" w:hAnsi="仿宋_GB2312" w:eastAsia="仿宋_GB2312" w:cs="仿宋_GB2312"/>
              </w:rPr>
            </w:pPr>
            <w:r>
              <w:rPr>
                <w:rFonts w:hint="eastAsia" w:ascii="仿宋_GB2312" w:hAnsi="仿宋_GB2312" w:eastAsia="仿宋_GB2312" w:cs="仿宋_GB2312"/>
                <w:spacing w:val="1"/>
              </w:rPr>
              <w:t>40.具有高级专业技术职务教师占专任教师的</w:t>
            </w:r>
            <w:r>
              <w:rPr>
                <w:rFonts w:hint="eastAsia" w:ascii="仿宋_GB2312" w:hAnsi="仿宋_GB2312" w:eastAsia="仿宋_GB2312" w:cs="仿宋_GB2312"/>
                <w:spacing w:val="16"/>
              </w:rPr>
              <w:t>比例</w:t>
            </w:r>
          </w:p>
        </w:tc>
        <w:tc>
          <w:tcPr>
            <w:tcW w:w="1499" w:type="dxa"/>
            <w:vAlign w:val="top"/>
          </w:tcPr>
          <w:p>
            <w:pPr>
              <w:pStyle w:val="8"/>
              <w:spacing w:before="301"/>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503" w:type="dxa"/>
            <w:vAlign w:val="top"/>
          </w:tcPr>
          <w:p>
            <w:pPr>
              <w:pStyle w:val="8"/>
              <w:spacing w:before="302" w:line="237" w:lineRule="auto"/>
              <w:ind w:left="468"/>
              <w:rPr>
                <w:rFonts w:hint="eastAsia" w:ascii="仿宋_GB2312" w:hAnsi="仿宋_GB2312" w:eastAsia="仿宋_GB2312" w:cs="仿宋_GB2312"/>
              </w:rPr>
            </w:pPr>
            <w:r>
              <w:rPr>
                <w:rFonts w:hint="eastAsia" w:ascii="仿宋_GB2312" w:hAnsi="仿宋_GB2312" w:eastAsia="仿宋_GB2312" w:cs="仿宋_GB2312"/>
                <w:spacing w:val="-10"/>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tcBorders>
            <w:vAlign w:val="top"/>
          </w:tcPr>
          <w:p>
            <w:pPr>
              <w:rPr>
                <w:rFonts w:hint="eastAsia" w:ascii="仿宋_GB2312" w:hAnsi="仿宋_GB2312" w:eastAsia="仿宋_GB2312" w:cs="仿宋_GB2312"/>
                <w:sz w:val="21"/>
              </w:rPr>
            </w:pPr>
          </w:p>
        </w:tc>
        <w:tc>
          <w:tcPr>
            <w:tcW w:w="5595" w:type="dxa"/>
            <w:vAlign w:val="top"/>
          </w:tcPr>
          <w:p>
            <w:pPr>
              <w:pStyle w:val="8"/>
              <w:spacing w:before="64" w:line="239" w:lineRule="auto"/>
              <w:ind w:left="12" w:right="121"/>
              <w:rPr>
                <w:rFonts w:hint="eastAsia" w:ascii="仿宋_GB2312" w:hAnsi="仿宋_GB2312" w:eastAsia="仿宋_GB2312" w:cs="仿宋_GB2312"/>
              </w:rPr>
            </w:pPr>
            <w:r>
              <w:rPr>
                <w:rFonts w:hint="eastAsia" w:ascii="仿宋_GB2312" w:hAnsi="仿宋_GB2312" w:eastAsia="仿宋_GB2312" w:cs="仿宋_GB2312"/>
                <w:spacing w:val="-1"/>
              </w:rPr>
              <w:t>4</w:t>
            </w:r>
            <w:r>
              <w:rPr>
                <w:rFonts w:hint="eastAsia" w:ascii="仿宋_GB2312" w:hAnsi="仿宋_GB2312" w:eastAsia="仿宋_GB2312" w:cs="仿宋_GB2312"/>
                <w:spacing w:val="-1"/>
                <w:lang w:val="en-US" w:eastAsia="zh-CN"/>
              </w:rPr>
              <w:t>1.</w:t>
            </w:r>
            <w:r>
              <w:rPr>
                <w:rFonts w:hint="eastAsia" w:ascii="仿宋_GB2312" w:hAnsi="仿宋_GB2312" w:eastAsia="仿宋_GB2312" w:cs="仿宋_GB2312"/>
                <w:spacing w:val="-1"/>
              </w:rPr>
              <w:t>专业课教师有相应的职业资格证书或职业</w:t>
            </w:r>
            <w:r>
              <w:rPr>
                <w:rFonts w:hint="eastAsia" w:ascii="仿宋_GB2312" w:hAnsi="仿宋_GB2312" w:eastAsia="仿宋_GB2312" w:cs="仿宋_GB2312"/>
                <w:spacing w:val="1"/>
              </w:rPr>
              <w:t>技能等级证书比例*</w:t>
            </w:r>
          </w:p>
        </w:tc>
        <w:tc>
          <w:tcPr>
            <w:tcW w:w="1499" w:type="dxa"/>
            <w:vAlign w:val="top"/>
          </w:tcPr>
          <w:p>
            <w:pPr>
              <w:pStyle w:val="8"/>
              <w:spacing w:before="273" w:line="224" w:lineRule="auto"/>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503" w:type="dxa"/>
            <w:vAlign w:val="top"/>
          </w:tcPr>
          <w:p>
            <w:pPr>
              <w:pStyle w:val="8"/>
              <w:spacing w:before="273" w:line="224" w:lineRule="auto"/>
              <w:ind w:left="678"/>
              <w:rPr>
                <w:rFonts w:hint="eastAsia" w:ascii="仿宋_GB2312" w:hAnsi="仿宋_GB2312" w:eastAsia="仿宋_GB2312" w:cs="仿宋_GB2312"/>
              </w:rPr>
            </w:pPr>
            <w:r>
              <w:rPr>
                <w:rFonts w:hint="eastAsia" w:ascii="仿宋_GB2312" w:hAnsi="仿宋_GB2312" w:eastAsia="仿宋_GB2312" w:cs="仿宋_GB2312"/>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1334" w:type="dxa"/>
            <w:vMerge w:val="continue"/>
            <w:tcBorders>
              <w:top w:val="nil"/>
            </w:tcBorders>
            <w:vAlign w:val="top"/>
          </w:tcPr>
          <w:p>
            <w:pPr>
              <w:rPr>
                <w:rFonts w:hint="eastAsia" w:ascii="仿宋_GB2312" w:hAnsi="仿宋_GB2312" w:eastAsia="仿宋_GB2312" w:cs="仿宋_GB2312"/>
                <w:sz w:val="21"/>
              </w:rPr>
            </w:pPr>
          </w:p>
        </w:tc>
        <w:tc>
          <w:tcPr>
            <w:tcW w:w="2878" w:type="dxa"/>
            <w:vAlign w:val="top"/>
          </w:tcPr>
          <w:p>
            <w:pPr>
              <w:spacing w:line="293" w:lineRule="auto"/>
              <w:rPr>
                <w:rFonts w:hint="eastAsia" w:ascii="仿宋_GB2312" w:hAnsi="仿宋_GB2312" w:eastAsia="仿宋_GB2312" w:cs="仿宋_GB2312"/>
                <w:sz w:val="21"/>
              </w:rPr>
            </w:pPr>
          </w:p>
          <w:p>
            <w:pPr>
              <w:spacing w:line="293" w:lineRule="auto"/>
              <w:rPr>
                <w:rFonts w:hint="eastAsia" w:ascii="仿宋_GB2312" w:hAnsi="仿宋_GB2312" w:eastAsia="仿宋_GB2312" w:cs="仿宋_GB2312"/>
                <w:sz w:val="21"/>
              </w:rPr>
            </w:pPr>
          </w:p>
          <w:p>
            <w:pPr>
              <w:pStyle w:val="8"/>
              <w:spacing w:before="91" w:line="222" w:lineRule="auto"/>
              <w:ind w:left="30"/>
              <w:rPr>
                <w:rFonts w:hint="eastAsia" w:ascii="仿宋_GB2312" w:hAnsi="仿宋_GB2312" w:eastAsia="仿宋_GB2312" w:cs="仿宋_GB2312"/>
              </w:rPr>
            </w:pPr>
            <w:r>
              <w:rPr>
                <w:rFonts w:hint="eastAsia" w:ascii="仿宋_GB2312" w:hAnsi="仿宋_GB2312" w:eastAsia="仿宋_GB2312" w:cs="仿宋_GB2312"/>
                <w:spacing w:val="2"/>
              </w:rPr>
              <w:t>18.企业经历</w:t>
            </w:r>
          </w:p>
        </w:tc>
        <w:tc>
          <w:tcPr>
            <w:tcW w:w="5595" w:type="dxa"/>
            <w:vAlign w:val="top"/>
          </w:tcPr>
          <w:p>
            <w:pPr>
              <w:pStyle w:val="8"/>
              <w:spacing w:before="105" w:line="246" w:lineRule="auto"/>
              <w:ind w:left="12"/>
              <w:rPr>
                <w:rFonts w:hint="eastAsia" w:ascii="仿宋_GB2312" w:hAnsi="仿宋_GB2312" w:eastAsia="仿宋_GB2312" w:cs="仿宋_GB2312"/>
              </w:rPr>
            </w:pPr>
            <w:r>
              <w:rPr>
                <w:rFonts w:hint="eastAsia" w:ascii="仿宋_GB2312" w:hAnsi="仿宋_GB2312" w:eastAsia="仿宋_GB2312" w:cs="仿宋_GB2312"/>
              </w:rPr>
              <w:t>4</w:t>
            </w:r>
            <w:r>
              <w:rPr>
                <w:rFonts w:hint="eastAsia" w:ascii="仿宋_GB2312" w:hAnsi="仿宋_GB2312" w:eastAsia="仿宋_GB2312" w:cs="仿宋_GB2312"/>
                <w:lang w:val="en-US" w:eastAsia="zh-CN"/>
              </w:rPr>
              <w:t>2.</w:t>
            </w:r>
            <w:r>
              <w:rPr>
                <w:rFonts w:hint="eastAsia" w:ascii="仿宋_GB2312" w:hAnsi="仿宋_GB2312" w:eastAsia="仿宋_GB2312" w:cs="仿宋_GB2312"/>
              </w:rPr>
              <w:t>满足每年至少累计1个月参与企业实践或</w:t>
            </w:r>
            <w:r>
              <w:rPr>
                <w:rFonts w:hint="eastAsia" w:ascii="仿宋_GB2312" w:hAnsi="仿宋_GB2312" w:eastAsia="仿宋_GB2312" w:cs="仿宋_GB2312"/>
                <w:spacing w:val="-2"/>
              </w:rPr>
              <w:t>实训基地实训，或者每五年企业实践时间累计</w:t>
            </w:r>
            <w:r>
              <w:rPr>
                <w:rFonts w:hint="eastAsia" w:ascii="仿宋_GB2312" w:hAnsi="仿宋_GB2312" w:eastAsia="仿宋_GB2312" w:cs="仿宋_GB2312"/>
              </w:rPr>
              <w:t>不少于6个月的专业课教师占专业课教师总数</w:t>
            </w:r>
            <w:r>
              <w:rPr>
                <w:rFonts w:hint="eastAsia" w:ascii="仿宋_GB2312" w:hAnsi="仿宋_GB2312" w:eastAsia="仿宋_GB2312" w:cs="仿宋_GB2312"/>
                <w:spacing w:val="7"/>
              </w:rPr>
              <w:t>的比例</w:t>
            </w:r>
          </w:p>
        </w:tc>
        <w:tc>
          <w:tcPr>
            <w:tcW w:w="1499" w:type="dxa"/>
            <w:vAlign w:val="top"/>
          </w:tcPr>
          <w:p>
            <w:pPr>
              <w:spacing w:line="304" w:lineRule="auto"/>
              <w:rPr>
                <w:rFonts w:hint="eastAsia" w:ascii="仿宋_GB2312" w:hAnsi="仿宋_GB2312" w:eastAsia="仿宋_GB2312" w:cs="仿宋_GB2312"/>
                <w:sz w:val="21"/>
              </w:rPr>
            </w:pPr>
          </w:p>
          <w:p>
            <w:pPr>
              <w:spacing w:line="305" w:lineRule="auto"/>
              <w:rPr>
                <w:rFonts w:hint="eastAsia" w:ascii="仿宋_GB2312" w:hAnsi="仿宋_GB2312" w:eastAsia="仿宋_GB2312" w:cs="仿宋_GB2312"/>
                <w:sz w:val="21"/>
              </w:rPr>
            </w:pPr>
          </w:p>
          <w:p>
            <w:pPr>
              <w:pStyle w:val="8"/>
              <w:spacing w:before="91"/>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503" w:type="dxa"/>
            <w:vAlign w:val="top"/>
          </w:tcPr>
          <w:p>
            <w:pPr>
              <w:spacing w:line="326" w:lineRule="auto"/>
              <w:rPr>
                <w:rFonts w:hint="eastAsia" w:ascii="仿宋_GB2312" w:hAnsi="仿宋_GB2312" w:eastAsia="仿宋_GB2312" w:cs="仿宋_GB2312"/>
                <w:sz w:val="21"/>
              </w:rPr>
            </w:pPr>
          </w:p>
          <w:p>
            <w:pPr>
              <w:spacing w:line="326" w:lineRule="auto"/>
              <w:rPr>
                <w:rFonts w:hint="eastAsia" w:ascii="仿宋_GB2312" w:hAnsi="仿宋_GB2312" w:eastAsia="仿宋_GB2312" w:cs="仿宋_GB2312"/>
                <w:sz w:val="21"/>
              </w:rPr>
            </w:pPr>
          </w:p>
          <w:p>
            <w:pPr>
              <w:pStyle w:val="8"/>
              <w:spacing w:before="91" w:line="184" w:lineRule="auto"/>
              <w:ind w:left="468"/>
              <w:rPr>
                <w:rFonts w:hint="eastAsia" w:ascii="仿宋_GB2312" w:hAnsi="仿宋_GB2312" w:eastAsia="仿宋_GB2312" w:cs="仿宋_GB2312"/>
              </w:rPr>
            </w:pPr>
            <w:r>
              <w:rPr>
                <w:rFonts w:hint="eastAsia" w:ascii="仿宋_GB2312" w:hAnsi="仿宋_GB2312" w:eastAsia="仿宋_GB2312" w:cs="仿宋_GB2312"/>
                <w:spacing w:val="-6"/>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334" w:type="dxa"/>
            <w:vMerge w:val="restart"/>
            <w:tcBorders>
              <w:bottom w:val="nil"/>
            </w:tcBorders>
            <w:vAlign w:val="top"/>
          </w:tcPr>
          <w:p>
            <w:pPr>
              <w:spacing w:line="264" w:lineRule="auto"/>
              <w:rPr>
                <w:rFonts w:hint="eastAsia" w:ascii="仿宋_GB2312" w:hAnsi="仿宋_GB2312" w:eastAsia="仿宋_GB2312" w:cs="仿宋_GB2312"/>
                <w:sz w:val="21"/>
              </w:rPr>
            </w:pPr>
          </w:p>
          <w:p>
            <w:pPr>
              <w:spacing w:line="264" w:lineRule="auto"/>
              <w:rPr>
                <w:rFonts w:hint="eastAsia" w:ascii="仿宋_GB2312" w:hAnsi="仿宋_GB2312" w:eastAsia="仿宋_GB2312" w:cs="仿宋_GB2312"/>
                <w:sz w:val="21"/>
              </w:rPr>
            </w:pPr>
          </w:p>
          <w:p>
            <w:pPr>
              <w:spacing w:line="264" w:lineRule="auto"/>
              <w:rPr>
                <w:rFonts w:hint="eastAsia" w:ascii="仿宋_GB2312" w:hAnsi="仿宋_GB2312" w:eastAsia="仿宋_GB2312" w:cs="仿宋_GB2312"/>
                <w:sz w:val="21"/>
              </w:rPr>
            </w:pPr>
          </w:p>
          <w:p>
            <w:pPr>
              <w:pStyle w:val="8"/>
              <w:spacing w:before="91" w:line="219" w:lineRule="auto"/>
              <w:ind w:left="114"/>
              <w:rPr>
                <w:rFonts w:hint="eastAsia" w:ascii="仿宋_GB2312" w:hAnsi="仿宋_GB2312" w:eastAsia="仿宋_GB2312" w:cs="仿宋_GB2312"/>
              </w:rPr>
            </w:pPr>
            <w:r>
              <w:rPr>
                <w:rFonts w:hint="eastAsia" w:ascii="仿宋_GB2312" w:hAnsi="仿宋_GB2312" w:eastAsia="仿宋_GB2312" w:cs="仿宋_GB2312"/>
                <w:spacing w:val="3"/>
              </w:rPr>
              <w:t>经费保障</w:t>
            </w:r>
          </w:p>
        </w:tc>
        <w:tc>
          <w:tcPr>
            <w:tcW w:w="2878" w:type="dxa"/>
            <w:vAlign w:val="top"/>
          </w:tcPr>
          <w:p>
            <w:pPr>
              <w:pStyle w:val="8"/>
              <w:spacing w:before="67" w:line="212" w:lineRule="auto"/>
              <w:ind w:left="30"/>
              <w:rPr>
                <w:rFonts w:hint="eastAsia" w:ascii="仿宋_GB2312" w:hAnsi="仿宋_GB2312" w:eastAsia="仿宋_GB2312" w:cs="仿宋_GB2312"/>
              </w:rPr>
            </w:pPr>
            <w:r>
              <w:rPr>
                <w:rFonts w:hint="eastAsia" w:ascii="仿宋_GB2312" w:hAnsi="仿宋_GB2312" w:eastAsia="仿宋_GB2312" w:cs="仿宋_GB2312"/>
                <w:spacing w:val="1"/>
              </w:rPr>
              <w:t>19.生均财政拨款水平</w:t>
            </w:r>
          </w:p>
        </w:tc>
        <w:tc>
          <w:tcPr>
            <w:tcW w:w="5595" w:type="dxa"/>
            <w:vAlign w:val="top"/>
          </w:tcPr>
          <w:p>
            <w:pPr>
              <w:pStyle w:val="8"/>
              <w:spacing w:before="67" w:line="212" w:lineRule="auto"/>
              <w:ind w:left="12"/>
              <w:rPr>
                <w:rFonts w:hint="eastAsia" w:ascii="仿宋_GB2312" w:hAnsi="仿宋_GB2312" w:eastAsia="仿宋_GB2312" w:cs="仿宋_GB2312"/>
              </w:rPr>
            </w:pPr>
            <w:r>
              <w:rPr>
                <w:rFonts w:hint="eastAsia" w:ascii="仿宋_GB2312" w:hAnsi="仿宋_GB2312" w:eastAsia="仿宋_GB2312" w:cs="仿宋_GB2312"/>
                <w:spacing w:val="1"/>
              </w:rPr>
              <w:t>4</w:t>
            </w:r>
            <w:r>
              <w:rPr>
                <w:rFonts w:hint="eastAsia" w:ascii="仿宋_GB2312" w:hAnsi="仿宋_GB2312" w:eastAsia="仿宋_GB2312" w:cs="仿宋_GB2312"/>
                <w:spacing w:val="1"/>
                <w:lang w:val="en-US" w:eastAsia="zh-CN"/>
              </w:rPr>
              <w:t>3.</w:t>
            </w:r>
            <w:r>
              <w:rPr>
                <w:rFonts w:hint="eastAsia" w:ascii="仿宋_GB2312" w:hAnsi="仿宋_GB2312" w:eastAsia="仿宋_GB2312" w:cs="仿宋_GB2312"/>
                <w:spacing w:val="1"/>
              </w:rPr>
              <w:t>年生均财政拨款水平</w:t>
            </w:r>
          </w:p>
        </w:tc>
        <w:tc>
          <w:tcPr>
            <w:tcW w:w="1499" w:type="dxa"/>
            <w:vAlign w:val="top"/>
          </w:tcPr>
          <w:p>
            <w:pPr>
              <w:pStyle w:val="8"/>
              <w:spacing w:before="67" w:line="212" w:lineRule="auto"/>
              <w:ind w:left="187"/>
              <w:rPr>
                <w:rFonts w:hint="eastAsia" w:ascii="仿宋_GB2312" w:hAnsi="仿宋_GB2312" w:eastAsia="仿宋_GB2312" w:cs="仿宋_GB2312"/>
              </w:rPr>
            </w:pPr>
            <w:r>
              <w:rPr>
                <w:rFonts w:hint="eastAsia" w:ascii="仿宋_GB2312" w:hAnsi="仿宋_GB2312" w:eastAsia="仿宋_GB2312" w:cs="仿宋_GB2312"/>
                <w:spacing w:val="2"/>
              </w:rPr>
              <w:t>元/生/年</w:t>
            </w:r>
          </w:p>
        </w:tc>
        <w:tc>
          <w:tcPr>
            <w:tcW w:w="1503" w:type="dxa"/>
            <w:vAlign w:val="top"/>
          </w:tcPr>
          <w:p>
            <w:pPr>
              <w:pStyle w:val="8"/>
              <w:spacing w:before="96" w:line="193" w:lineRule="auto"/>
              <w:ind w:left="258"/>
              <w:rPr>
                <w:rFonts w:hint="eastAsia" w:ascii="仿宋_GB2312" w:hAnsi="仿宋_GB2312" w:eastAsia="仿宋_GB2312" w:cs="仿宋_GB2312"/>
              </w:rPr>
            </w:pPr>
            <w:r>
              <w:rPr>
                <w:rFonts w:hint="eastAsia" w:ascii="仿宋_GB2312" w:hAnsi="仿宋_GB2312" w:eastAsia="仿宋_GB2312" w:cs="仿宋_GB2312"/>
                <w:spacing w:val="-6"/>
              </w:rPr>
              <w:t>≥12000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restart"/>
            <w:tcBorders>
              <w:bottom w:val="nil"/>
            </w:tcBorders>
            <w:vAlign w:val="top"/>
          </w:tcPr>
          <w:p>
            <w:pPr>
              <w:pStyle w:val="8"/>
              <w:spacing w:before="279" w:line="219" w:lineRule="auto"/>
              <w:ind w:left="30"/>
              <w:rPr>
                <w:rFonts w:hint="eastAsia" w:ascii="仿宋_GB2312" w:hAnsi="仿宋_GB2312" w:eastAsia="仿宋_GB2312" w:cs="仿宋_GB2312"/>
              </w:rPr>
            </w:pPr>
            <w:r>
              <w:rPr>
                <w:rFonts w:hint="eastAsia" w:ascii="仿宋_GB2312" w:hAnsi="仿宋_GB2312" w:eastAsia="仿宋_GB2312" w:cs="仿宋_GB2312"/>
                <w:spacing w:val="3"/>
              </w:rPr>
              <w:t>20.教学日常经费支出</w:t>
            </w:r>
          </w:p>
        </w:tc>
        <w:tc>
          <w:tcPr>
            <w:tcW w:w="5595" w:type="dxa"/>
            <w:vAlign w:val="top"/>
          </w:tcPr>
          <w:p>
            <w:pPr>
              <w:pStyle w:val="8"/>
              <w:spacing w:before="69" w:line="211" w:lineRule="auto"/>
              <w:ind w:left="12"/>
              <w:rPr>
                <w:rFonts w:hint="eastAsia" w:ascii="仿宋_GB2312" w:hAnsi="仿宋_GB2312" w:eastAsia="仿宋_GB2312" w:cs="仿宋_GB2312"/>
              </w:rPr>
            </w:pPr>
            <w:r>
              <w:rPr>
                <w:rFonts w:hint="eastAsia" w:ascii="仿宋_GB2312" w:hAnsi="仿宋_GB2312" w:eastAsia="仿宋_GB2312" w:cs="仿宋_GB2312"/>
                <w:spacing w:val="2"/>
              </w:rPr>
              <w:t>4</w:t>
            </w:r>
            <w:r>
              <w:rPr>
                <w:rFonts w:hint="eastAsia" w:ascii="仿宋_GB2312" w:hAnsi="仿宋_GB2312" w:eastAsia="仿宋_GB2312" w:cs="仿宋_GB2312"/>
                <w:spacing w:val="2"/>
                <w:lang w:val="en-US" w:eastAsia="zh-CN"/>
              </w:rPr>
              <w:t>4.</w:t>
            </w:r>
            <w:r>
              <w:rPr>
                <w:rFonts w:hint="eastAsia" w:ascii="仿宋_GB2312" w:hAnsi="仿宋_GB2312" w:eastAsia="仿宋_GB2312" w:cs="仿宋_GB2312"/>
                <w:spacing w:val="2"/>
              </w:rPr>
              <w:t>生均年教学日常运行支出</w:t>
            </w:r>
          </w:p>
        </w:tc>
        <w:tc>
          <w:tcPr>
            <w:tcW w:w="1499" w:type="dxa"/>
            <w:vAlign w:val="top"/>
          </w:tcPr>
          <w:p>
            <w:pPr>
              <w:pStyle w:val="8"/>
              <w:spacing w:before="69" w:line="211" w:lineRule="auto"/>
              <w:ind w:left="187"/>
              <w:rPr>
                <w:rFonts w:hint="eastAsia" w:ascii="仿宋_GB2312" w:hAnsi="仿宋_GB2312" w:eastAsia="仿宋_GB2312" w:cs="仿宋_GB2312"/>
              </w:rPr>
            </w:pPr>
            <w:r>
              <w:rPr>
                <w:rFonts w:hint="eastAsia" w:ascii="仿宋_GB2312" w:hAnsi="仿宋_GB2312" w:eastAsia="仿宋_GB2312" w:cs="仿宋_GB2312"/>
                <w:spacing w:val="2"/>
              </w:rPr>
              <w:t>元/生/年</w:t>
            </w:r>
          </w:p>
        </w:tc>
        <w:tc>
          <w:tcPr>
            <w:tcW w:w="1503" w:type="dxa"/>
            <w:vAlign w:val="top"/>
          </w:tcPr>
          <w:p>
            <w:pPr>
              <w:pStyle w:val="8"/>
              <w:spacing w:before="97" w:line="193" w:lineRule="auto"/>
              <w:ind w:left="328"/>
              <w:rPr>
                <w:rFonts w:hint="eastAsia" w:ascii="仿宋_GB2312" w:hAnsi="仿宋_GB2312" w:eastAsia="仿宋_GB2312" w:cs="仿宋_GB2312"/>
              </w:rPr>
            </w:pPr>
            <w:r>
              <w:rPr>
                <w:rFonts w:hint="eastAsia" w:ascii="仿宋_GB2312" w:hAnsi="仿宋_GB2312" w:eastAsia="仿宋_GB2312" w:cs="仿宋_GB2312"/>
                <w:spacing w:val="-7"/>
              </w:rPr>
              <w:t>≥1200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1334" w:type="dxa"/>
            <w:vMerge w:val="continue"/>
            <w:tcBorders>
              <w:top w:val="nil"/>
              <w:bottom w:val="nil"/>
            </w:tcBorders>
            <w:vAlign w:val="top"/>
          </w:tcPr>
          <w:p>
            <w:pPr>
              <w:rPr>
                <w:rFonts w:hint="eastAsia" w:ascii="仿宋_GB2312" w:hAnsi="仿宋_GB2312" w:eastAsia="仿宋_GB2312" w:cs="仿宋_GB2312"/>
                <w:sz w:val="21"/>
              </w:rPr>
            </w:pPr>
          </w:p>
        </w:tc>
        <w:tc>
          <w:tcPr>
            <w:tcW w:w="2878" w:type="dxa"/>
            <w:vMerge w:val="continue"/>
            <w:tcBorders>
              <w:top w:val="nil"/>
            </w:tcBorders>
            <w:vAlign w:val="top"/>
          </w:tcPr>
          <w:p>
            <w:pPr>
              <w:rPr>
                <w:rFonts w:hint="eastAsia" w:ascii="仿宋_GB2312" w:hAnsi="仿宋_GB2312" w:eastAsia="仿宋_GB2312" w:cs="仿宋_GB2312"/>
                <w:sz w:val="21"/>
              </w:rPr>
            </w:pPr>
          </w:p>
        </w:tc>
        <w:tc>
          <w:tcPr>
            <w:tcW w:w="5595" w:type="dxa"/>
            <w:vAlign w:val="top"/>
          </w:tcPr>
          <w:p>
            <w:pPr>
              <w:pStyle w:val="8"/>
              <w:spacing w:before="68" w:line="211" w:lineRule="auto"/>
              <w:ind w:left="12"/>
              <w:rPr>
                <w:rFonts w:hint="eastAsia" w:ascii="仿宋_GB2312" w:hAnsi="仿宋_GB2312" w:eastAsia="仿宋_GB2312" w:cs="仿宋_GB2312"/>
              </w:rPr>
            </w:pPr>
            <w:r>
              <w:rPr>
                <w:rFonts w:hint="eastAsia" w:ascii="仿宋_GB2312" w:hAnsi="仿宋_GB2312" w:eastAsia="仿宋_GB2312" w:cs="仿宋_GB2312"/>
                <w:spacing w:val="1"/>
              </w:rPr>
              <w:t>4</w:t>
            </w:r>
            <w:r>
              <w:rPr>
                <w:rFonts w:hint="eastAsia" w:ascii="仿宋_GB2312" w:hAnsi="仿宋_GB2312" w:eastAsia="仿宋_GB2312" w:cs="仿宋_GB2312"/>
                <w:spacing w:val="1"/>
                <w:lang w:val="en-US" w:eastAsia="zh-CN"/>
              </w:rPr>
              <w:t>5.</w:t>
            </w:r>
            <w:r>
              <w:rPr>
                <w:rFonts w:hint="eastAsia" w:ascii="仿宋_GB2312" w:hAnsi="仿宋_GB2312" w:eastAsia="仿宋_GB2312" w:cs="仿宋_GB2312"/>
                <w:spacing w:val="1"/>
              </w:rPr>
              <w:t>教学日常运行支出占比</w:t>
            </w:r>
          </w:p>
        </w:tc>
        <w:tc>
          <w:tcPr>
            <w:tcW w:w="1499" w:type="dxa"/>
            <w:vAlign w:val="top"/>
          </w:tcPr>
          <w:p>
            <w:pPr>
              <w:pStyle w:val="8"/>
              <w:spacing w:before="97" w:line="192" w:lineRule="auto"/>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503" w:type="dxa"/>
            <w:vAlign w:val="top"/>
          </w:tcPr>
          <w:p>
            <w:pPr>
              <w:pStyle w:val="8"/>
              <w:spacing w:before="96" w:line="193" w:lineRule="auto"/>
              <w:ind w:left="468"/>
              <w:rPr>
                <w:rFonts w:hint="eastAsia" w:ascii="仿宋_GB2312" w:hAnsi="仿宋_GB2312" w:eastAsia="仿宋_GB2312" w:cs="仿宋_GB2312"/>
              </w:rPr>
            </w:pPr>
            <w:r>
              <w:rPr>
                <w:rFonts w:hint="eastAsia" w:ascii="仿宋_GB2312" w:hAnsi="仿宋_GB2312" w:eastAsia="仿宋_GB2312" w:cs="仿宋_GB2312"/>
                <w:spacing w:val="-10"/>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1334" w:type="dxa"/>
            <w:vMerge w:val="continue"/>
            <w:tcBorders>
              <w:top w:val="nil"/>
            </w:tcBorders>
            <w:vAlign w:val="top"/>
          </w:tcPr>
          <w:p>
            <w:pPr>
              <w:rPr>
                <w:rFonts w:hint="eastAsia" w:ascii="仿宋_GB2312" w:hAnsi="仿宋_GB2312" w:eastAsia="仿宋_GB2312" w:cs="仿宋_GB2312"/>
                <w:sz w:val="21"/>
              </w:rPr>
            </w:pPr>
          </w:p>
        </w:tc>
        <w:tc>
          <w:tcPr>
            <w:tcW w:w="2878" w:type="dxa"/>
            <w:vAlign w:val="top"/>
          </w:tcPr>
          <w:p>
            <w:pPr>
              <w:pStyle w:val="8"/>
              <w:spacing w:before="139" w:line="219" w:lineRule="auto"/>
              <w:ind w:left="29" w:hanging="19"/>
              <w:rPr>
                <w:rFonts w:hint="eastAsia" w:ascii="仿宋_GB2312" w:hAnsi="仿宋_GB2312" w:eastAsia="仿宋_GB2312" w:cs="仿宋_GB2312"/>
              </w:rPr>
            </w:pPr>
            <w:r>
              <w:rPr>
                <w:rFonts w:hint="eastAsia" w:ascii="仿宋_GB2312" w:hAnsi="仿宋_GB2312" w:eastAsia="仿宋_GB2312" w:cs="仿宋_GB2312"/>
                <w:spacing w:val="-7"/>
              </w:rPr>
              <w:t>2</w:t>
            </w:r>
            <w:r>
              <w:rPr>
                <w:rFonts w:hint="eastAsia" w:ascii="仿宋_GB2312" w:hAnsi="仿宋_GB2312" w:eastAsia="仿宋_GB2312" w:cs="仿宋_GB2312"/>
                <w:spacing w:val="-7"/>
                <w:lang w:val="en-US" w:eastAsia="zh-CN"/>
              </w:rPr>
              <w:t>1.</w:t>
            </w:r>
            <w:r>
              <w:rPr>
                <w:rFonts w:hint="eastAsia" w:ascii="仿宋_GB2312" w:hAnsi="仿宋_GB2312" w:eastAsia="仿宋_GB2312" w:cs="仿宋_GB2312"/>
                <w:spacing w:val="-7"/>
              </w:rPr>
              <w:t>获得人社部门就业专</w:t>
            </w:r>
            <w:r>
              <w:rPr>
                <w:rFonts w:hint="eastAsia" w:ascii="仿宋_GB2312" w:hAnsi="仿宋_GB2312" w:eastAsia="仿宋_GB2312" w:cs="仿宋_GB2312"/>
                <w:spacing w:val="4"/>
              </w:rPr>
              <w:t>项经费</w:t>
            </w:r>
          </w:p>
        </w:tc>
        <w:tc>
          <w:tcPr>
            <w:tcW w:w="5595" w:type="dxa"/>
            <w:vAlign w:val="top"/>
          </w:tcPr>
          <w:p>
            <w:pPr>
              <w:pStyle w:val="8"/>
              <w:spacing w:before="109" w:line="229" w:lineRule="auto"/>
              <w:ind w:left="12" w:right="99"/>
              <w:rPr>
                <w:rFonts w:hint="eastAsia" w:ascii="仿宋_GB2312" w:hAnsi="仿宋_GB2312" w:eastAsia="仿宋_GB2312" w:cs="仿宋_GB2312"/>
              </w:rPr>
            </w:pPr>
            <w:r>
              <w:rPr>
                <w:rFonts w:hint="eastAsia" w:ascii="仿宋_GB2312" w:hAnsi="仿宋_GB2312" w:eastAsia="仿宋_GB2312" w:cs="仿宋_GB2312"/>
              </w:rPr>
              <w:t>4</w:t>
            </w:r>
            <w:r>
              <w:rPr>
                <w:rFonts w:hint="eastAsia" w:ascii="仿宋_GB2312" w:hAnsi="仿宋_GB2312" w:eastAsia="仿宋_GB2312" w:cs="仿宋_GB2312"/>
                <w:lang w:val="en-US" w:eastAsia="zh-CN"/>
              </w:rPr>
              <w:t>6.</w:t>
            </w:r>
            <w:r>
              <w:rPr>
                <w:rFonts w:hint="eastAsia" w:ascii="仿宋_GB2312" w:hAnsi="仿宋_GB2312" w:eastAsia="仿宋_GB2312" w:cs="仿宋_GB2312"/>
              </w:rPr>
              <w:t>学校就业经费中获得人社部门就业专项经</w:t>
            </w:r>
            <w:r>
              <w:rPr>
                <w:rFonts w:hint="eastAsia" w:ascii="仿宋_GB2312" w:hAnsi="仿宋_GB2312" w:eastAsia="仿宋_GB2312" w:cs="仿宋_GB2312"/>
                <w:spacing w:val="2"/>
              </w:rPr>
              <w:t>费占比*</w:t>
            </w:r>
          </w:p>
        </w:tc>
        <w:tc>
          <w:tcPr>
            <w:tcW w:w="1499" w:type="dxa"/>
            <w:vAlign w:val="top"/>
          </w:tcPr>
          <w:p>
            <w:pPr>
              <w:pStyle w:val="8"/>
              <w:spacing w:before="307"/>
              <w:ind w:left="677"/>
              <w:rPr>
                <w:rFonts w:hint="eastAsia" w:ascii="仿宋_GB2312" w:hAnsi="仿宋_GB2312" w:eastAsia="仿宋_GB2312" w:cs="仿宋_GB2312"/>
              </w:rPr>
            </w:pPr>
            <w:r>
              <w:rPr>
                <w:rFonts w:hint="eastAsia" w:ascii="仿宋_GB2312" w:hAnsi="仿宋_GB2312" w:eastAsia="仿宋_GB2312" w:cs="仿宋_GB2312"/>
              </w:rPr>
              <w:t>%</w:t>
            </w:r>
          </w:p>
        </w:tc>
        <w:tc>
          <w:tcPr>
            <w:tcW w:w="1503" w:type="dxa"/>
            <w:vAlign w:val="top"/>
          </w:tcPr>
          <w:p>
            <w:pPr>
              <w:pStyle w:val="8"/>
              <w:spacing w:before="280" w:line="219" w:lineRule="auto"/>
              <w:ind w:left="328"/>
              <w:rPr>
                <w:rFonts w:hint="eastAsia" w:ascii="仿宋_GB2312" w:hAnsi="仿宋_GB2312" w:eastAsia="仿宋_GB2312" w:cs="仿宋_GB2312"/>
              </w:rPr>
            </w:pPr>
            <w:r>
              <w:rPr>
                <w:rFonts w:hint="eastAsia" w:ascii="仿宋_GB2312" w:hAnsi="仿宋_GB2312" w:eastAsia="仿宋_GB2312" w:cs="仿宋_GB2312"/>
                <w:spacing w:val="10"/>
              </w:rPr>
              <w:t>见说明</w:t>
            </w:r>
          </w:p>
        </w:tc>
      </w:tr>
    </w:tbl>
    <w:p>
      <w:pPr>
        <w:pStyle w:val="2"/>
        <w:spacing w:before="204" w:line="222" w:lineRule="auto"/>
        <w:ind w:left="14"/>
        <w:rPr>
          <w:sz w:val="27"/>
          <w:szCs w:val="27"/>
        </w:rPr>
      </w:pPr>
      <w:r>
        <w:rPr>
          <w:rFonts w:hint="eastAsia" w:ascii="仿宋_GB2312" w:hAnsi="仿宋_GB2312" w:eastAsia="仿宋_GB2312" w:cs="仿宋_GB2312"/>
          <w:spacing w:val="8"/>
          <w:sz w:val="27"/>
          <w:szCs w:val="27"/>
        </w:rPr>
        <w:t>注：标“*”的监测点为动态监测点</w:t>
      </w:r>
    </w:p>
    <w:p>
      <w:pPr>
        <w:spacing w:line="222" w:lineRule="auto"/>
        <w:rPr>
          <w:sz w:val="27"/>
          <w:szCs w:val="27"/>
        </w:rPr>
        <w:sectPr>
          <w:footerReference r:id="rId7" w:type="default"/>
          <w:pgSz w:w="16840" w:h="11910"/>
          <w:pgMar w:top="1012" w:right="2155" w:bottom="1019" w:left="1865" w:header="0" w:footer="901" w:gutter="0"/>
          <w:pgNumType w:fmt="numberInDash"/>
          <w:cols w:space="720" w:num="1"/>
        </w:sectPr>
      </w:pP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jc w:val="center"/>
        <w:textAlignment w:val="baseline"/>
        <w:outlineLvl w:val="1"/>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6"/>
          <w:sz w:val="44"/>
          <w:szCs w:val="44"/>
        </w:rPr>
        <w:t>监测指标统计口径及计算方法说明</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textAlignment w:val="baseline"/>
        <w:rPr>
          <w:rFonts w:hint="eastAsia" w:ascii="楷体" w:hAnsi="楷体" w:eastAsia="楷体" w:cs="楷体"/>
          <w:b/>
          <w:bCs/>
          <w:spacing w:val="-7"/>
          <w:sz w:val="31"/>
          <w:szCs w:val="31"/>
        </w:rPr>
      </w:pP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jc w:val="center"/>
        <w:textAlignment w:val="baseline"/>
        <w:rPr>
          <w:rFonts w:hint="eastAsia" w:ascii="黑体" w:hAnsi="黑体" w:eastAsia="黑体" w:cs="黑体"/>
          <w:b w:val="0"/>
          <w:bCs w:val="0"/>
          <w:sz w:val="32"/>
          <w:szCs w:val="32"/>
        </w:rPr>
      </w:pPr>
      <w:r>
        <w:rPr>
          <w:rFonts w:hint="eastAsia" w:ascii="黑体" w:hAnsi="黑体" w:eastAsia="黑体" w:cs="黑体"/>
          <w:b w:val="0"/>
          <w:bCs w:val="0"/>
          <w:spacing w:val="-7"/>
          <w:sz w:val="32"/>
          <w:szCs w:val="32"/>
        </w:rPr>
        <w:t>【指标一】校园建设</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en-US" w:bidi="ar-SA"/>
        </w:rPr>
      </w:pPr>
      <w:r>
        <w:rPr>
          <w:rFonts w:hint="eastAsia" w:ascii="黑体" w:hAnsi="黑体" w:eastAsia="黑体" w:cs="黑体"/>
          <w:b w:val="0"/>
          <w:bCs w:val="0"/>
          <w:snapToGrid w:val="0"/>
          <w:color w:val="000000"/>
          <w:spacing w:val="-2"/>
          <w:kern w:val="0"/>
          <w:sz w:val="32"/>
          <w:szCs w:val="32"/>
          <w:lang w:val="en-US" w:eastAsia="zh-CN" w:bidi="ar-SA"/>
        </w:rPr>
        <w:t>1.</w:t>
      </w:r>
      <w:r>
        <w:rPr>
          <w:rFonts w:hint="eastAsia" w:ascii="黑体" w:hAnsi="黑体" w:eastAsia="黑体" w:cs="黑体"/>
          <w:b w:val="0"/>
          <w:bCs w:val="0"/>
          <w:snapToGrid w:val="0"/>
          <w:color w:val="000000"/>
          <w:spacing w:val="-2"/>
          <w:kern w:val="0"/>
          <w:sz w:val="32"/>
          <w:szCs w:val="32"/>
          <w:lang w:val="en-US" w:eastAsia="en-US" w:bidi="ar-SA"/>
        </w:rPr>
        <w:t>校园占地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4" w:firstLineChars="200"/>
        <w:jc w:val="both"/>
        <w:textAlignment w:val="baseline"/>
        <w:rPr>
          <w:rFonts w:hint="eastAsia" w:ascii="仿宋_GB2312" w:hAnsi="仿宋_GB2312" w:eastAsia="仿宋_GB2312" w:cs="仿宋_GB2312"/>
          <w:snapToGrid w:val="0"/>
          <w:color w:val="000000"/>
          <w:spacing w:val="-2"/>
          <w:kern w:val="0"/>
          <w:sz w:val="32"/>
          <w:szCs w:val="32"/>
          <w:lang w:val="en-US" w:eastAsia="en-US" w:bidi="ar-SA"/>
        </w:rPr>
      </w:pPr>
      <w:r>
        <w:rPr>
          <w:rFonts w:hint="eastAsia" w:ascii="仿宋_GB2312" w:hAnsi="仿宋_GB2312" w:eastAsia="仿宋_GB2312" w:cs="仿宋_GB2312"/>
          <w:b/>
          <w:bCs/>
          <w:snapToGrid w:val="0"/>
          <w:color w:val="000000"/>
          <w:spacing w:val="-2"/>
          <w:kern w:val="0"/>
          <w:sz w:val="32"/>
          <w:szCs w:val="32"/>
          <w:lang w:val="en-US" w:eastAsia="en-US" w:bidi="ar-SA"/>
        </w:rPr>
        <w:t>指标来源：</w:t>
      </w:r>
      <w:r>
        <w:rPr>
          <w:rFonts w:hint="eastAsia" w:ascii="仿宋_GB2312" w:hAnsi="仿宋_GB2312" w:eastAsia="仿宋_GB2312" w:cs="仿宋_GB2312"/>
          <w:snapToGrid w:val="0"/>
          <w:color w:val="000000"/>
          <w:spacing w:val="-2"/>
          <w:kern w:val="0"/>
          <w:sz w:val="32"/>
          <w:szCs w:val="32"/>
          <w:lang w:val="en-US" w:eastAsia="en-US" w:bidi="ar-SA"/>
        </w:rPr>
        <w:t>《普通高等学校基本办学条件指标》《普通高等学校体育场馆设施、器材配备目录》</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4" w:firstLineChars="200"/>
        <w:textAlignment w:val="baseline"/>
        <w:rPr>
          <w:rFonts w:hint="eastAsia" w:ascii="仿宋_GB2312" w:hAnsi="仿宋_GB2312" w:eastAsia="仿宋_GB2312" w:cs="仿宋_GB2312"/>
          <w:b/>
          <w:bCs/>
          <w:snapToGrid w:val="0"/>
          <w:color w:val="000000"/>
          <w:spacing w:val="-2"/>
          <w:kern w:val="0"/>
          <w:sz w:val="32"/>
          <w:szCs w:val="32"/>
          <w:lang w:val="en-US" w:eastAsia="en-US" w:bidi="ar-SA"/>
        </w:rPr>
      </w:pPr>
      <w:r>
        <w:rPr>
          <w:rFonts w:hint="eastAsia" w:ascii="仿宋_GB2312" w:hAnsi="仿宋_GB2312" w:eastAsia="仿宋_GB2312" w:cs="仿宋_GB2312"/>
          <w:b/>
          <w:bCs/>
          <w:snapToGrid w:val="0"/>
          <w:color w:val="000000"/>
          <w:spacing w:val="-2"/>
          <w:kern w:val="0"/>
          <w:sz w:val="32"/>
          <w:szCs w:val="32"/>
          <w:lang w:val="en-US" w:eastAsia="en-US"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4" w:firstLineChars="200"/>
        <w:jc w:val="both"/>
        <w:textAlignment w:val="baseline"/>
        <w:rPr>
          <w:rFonts w:hint="eastAsia" w:ascii="仿宋_GB2312" w:hAnsi="仿宋_GB2312" w:eastAsia="仿宋_GB2312" w:cs="仿宋_GB2312"/>
          <w:color w:val="000000"/>
          <w:spacing w:val="11"/>
          <w:sz w:val="32"/>
          <w:szCs w:val="32"/>
          <w:lang w:val="en-US" w:eastAsia="zh-CN"/>
        </w:rPr>
      </w:pPr>
      <w:r>
        <w:rPr>
          <w:rFonts w:hint="eastAsia" w:ascii="仿宋_GB2312" w:hAnsi="仿宋_GB2312" w:eastAsia="仿宋_GB2312" w:cs="仿宋_GB2312"/>
          <w:color w:val="000000"/>
          <w:spacing w:val="11"/>
          <w:sz w:val="32"/>
          <w:szCs w:val="32"/>
          <w:lang w:val="en-US" w:eastAsia="zh-CN"/>
        </w:rPr>
        <w:t>（1）学校产权面积是指学校具有国家颁发的土地使用权证所占用的土地面积。含学校体育场、绿化用地，不包括校园外学校拥有的农场、林场及校办工厂等土地面积。</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4"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lang w:val="en-US" w:eastAsia="zh-CN"/>
        </w:rPr>
        <w:t>（2）</w:t>
      </w:r>
      <w:r>
        <w:rPr>
          <w:rFonts w:hint="eastAsia" w:ascii="仿宋_GB2312" w:hAnsi="仿宋_GB2312" w:eastAsia="仿宋_GB2312" w:cs="仿宋_GB2312"/>
          <w:spacing w:val="11"/>
          <w:sz w:val="32"/>
          <w:szCs w:val="32"/>
        </w:rPr>
        <w:t>非学校产权面积是指使用年限在一年以上的不属</w:t>
      </w:r>
      <w:r>
        <w:rPr>
          <w:rFonts w:hint="eastAsia" w:ascii="仿宋_GB2312" w:hAnsi="仿宋_GB2312" w:eastAsia="仿宋_GB2312" w:cs="仿宋_GB2312"/>
          <w:spacing w:val="-4"/>
          <w:sz w:val="32"/>
          <w:szCs w:val="32"/>
        </w:rPr>
        <w:t>于学校产权的占地面积</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4"/>
          <w:sz w:val="32"/>
          <w:szCs w:val="32"/>
        </w:rPr>
        <w:t>分为学校独立使用或共同使用。独</w:t>
      </w:r>
      <w:r>
        <w:rPr>
          <w:rFonts w:hint="eastAsia" w:ascii="仿宋_GB2312" w:hAnsi="仿宋_GB2312" w:eastAsia="仿宋_GB2312" w:cs="仿宋_GB2312"/>
          <w:spacing w:val="-2"/>
          <w:sz w:val="32"/>
          <w:szCs w:val="32"/>
        </w:rPr>
        <w:t>立使用</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是指学校独立使用的不属于学校产权的土地面积。共同使用</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是指学校与其他方面共同使用的不属于学校产权</w:t>
      </w:r>
      <w:r>
        <w:rPr>
          <w:rFonts w:hint="eastAsia" w:ascii="仿宋_GB2312" w:hAnsi="仿宋_GB2312" w:eastAsia="仿宋_GB2312" w:cs="仿宋_GB2312"/>
          <w:spacing w:val="-12"/>
          <w:sz w:val="32"/>
          <w:szCs w:val="32"/>
        </w:rPr>
        <w:t>的土地面积。</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6"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lang w:val="en-US" w:eastAsia="zh-CN"/>
        </w:rPr>
        <w:t>（3）</w:t>
      </w:r>
      <w:r>
        <w:rPr>
          <w:rFonts w:hint="eastAsia" w:ascii="仿宋_GB2312" w:hAnsi="仿宋_GB2312" w:eastAsia="仿宋_GB2312" w:cs="仿宋_GB2312"/>
          <w:spacing w:val="4"/>
          <w:sz w:val="32"/>
          <w:szCs w:val="32"/>
        </w:rPr>
        <w:t>校园占地面积=学校产权面积+非学校产权面积</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4"/>
          <w:sz w:val="32"/>
          <w:szCs w:val="32"/>
        </w:rPr>
        <w:t>独</w:t>
      </w:r>
      <w:r>
        <w:rPr>
          <w:rFonts w:hint="eastAsia" w:ascii="仿宋_GB2312" w:hAnsi="仿宋_GB2312" w:eastAsia="仿宋_GB2312" w:cs="仿宋_GB2312"/>
          <w:spacing w:val="13"/>
          <w:sz w:val="32"/>
          <w:szCs w:val="32"/>
        </w:rPr>
        <w:t>立使用</w:t>
      </w:r>
      <w:r>
        <w:rPr>
          <w:rFonts w:hint="eastAsia" w:ascii="仿宋_GB2312" w:hAnsi="仿宋_GB2312" w:eastAsia="仿宋_GB2312" w:cs="仿宋_GB2312"/>
          <w:spacing w:val="4"/>
          <w:sz w:val="32"/>
          <w:szCs w:val="32"/>
          <w:lang w:eastAsia="zh-CN"/>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73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3"/>
          <w:sz w:val="32"/>
          <w:szCs w:val="32"/>
          <w:lang w:val="en-US" w:eastAsia="zh-CN"/>
        </w:rPr>
        <w:t>（4）</w:t>
      </w:r>
      <w:r>
        <w:rPr>
          <w:rFonts w:hint="eastAsia" w:ascii="仿宋_GB2312" w:hAnsi="仿宋_GB2312" w:eastAsia="仿宋_GB2312" w:cs="仿宋_GB2312"/>
          <w:spacing w:val="23"/>
          <w:sz w:val="32"/>
          <w:szCs w:val="32"/>
        </w:rPr>
        <w:t>全日制学生数=普通专科</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高职</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在校生数+留学</w:t>
      </w:r>
      <w:r>
        <w:rPr>
          <w:rFonts w:hint="eastAsia" w:ascii="仿宋_GB2312" w:hAnsi="仿宋_GB2312" w:eastAsia="仿宋_GB2312" w:cs="仿宋_GB2312"/>
          <w:spacing w:val="9"/>
          <w:sz w:val="32"/>
          <w:szCs w:val="32"/>
        </w:rPr>
        <w:t>生专科在校生数+预科生数+进修生数+成人脱产班学生数+</w:t>
      </w:r>
      <w:r>
        <w:rPr>
          <w:rFonts w:hint="eastAsia" w:ascii="仿宋_GB2312" w:hAnsi="仿宋_GB2312" w:eastAsia="仿宋_GB2312" w:cs="仿宋_GB2312"/>
          <w:spacing w:val="-4"/>
          <w:sz w:val="32"/>
          <w:szCs w:val="32"/>
        </w:rPr>
        <w:t>附设中职班在校生数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6"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lang w:val="en-US" w:eastAsia="zh-CN"/>
        </w:rPr>
        <w:t>（5）</w:t>
      </w:r>
      <w:r>
        <w:rPr>
          <w:rFonts w:hint="eastAsia" w:ascii="仿宋_GB2312" w:hAnsi="仿宋_GB2312" w:eastAsia="仿宋_GB2312" w:cs="仿宋_GB2312"/>
          <w:spacing w:val="4"/>
          <w:sz w:val="32"/>
          <w:szCs w:val="32"/>
        </w:rPr>
        <w:t>生均占地面积=校园占地面积/全日制学生数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6" w:firstLineChars="200"/>
        <w:jc w:val="both"/>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4"/>
          <w:sz w:val="32"/>
          <w:szCs w:val="32"/>
          <w:lang w:val="en-US" w:eastAsia="zh-CN"/>
        </w:rPr>
        <w:t>（6）</w:t>
      </w:r>
      <w:r>
        <w:rPr>
          <w:rFonts w:hint="eastAsia" w:ascii="仿宋_GB2312" w:hAnsi="仿宋_GB2312" w:eastAsia="仿宋_GB2312" w:cs="仿宋_GB2312"/>
          <w:spacing w:val="4"/>
          <w:sz w:val="32"/>
          <w:szCs w:val="32"/>
        </w:rPr>
        <w:t>生均体育场地设施面积=室外与室内体育场地设施</w:t>
      </w:r>
      <w:r>
        <w:rPr>
          <w:rFonts w:hint="eastAsia" w:ascii="仿宋_GB2312" w:hAnsi="仿宋_GB2312" w:eastAsia="仿宋_GB2312" w:cs="仿宋_GB2312"/>
          <w:spacing w:val="-10"/>
          <w:sz w:val="32"/>
          <w:szCs w:val="32"/>
        </w:rPr>
        <w:t>面积之和/全日制学生数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8" w:firstLineChars="200"/>
        <w:jc w:val="both"/>
        <w:textAlignment w:val="baseline"/>
        <w:rPr>
          <w:rFonts w:hint="eastAsia" w:ascii="仿宋_GB2312" w:hAnsi="仿宋_GB2312" w:eastAsia="仿宋_GB2312" w:cs="仿宋_GB2312"/>
          <w:b/>
          <w:bCs/>
          <w:spacing w:val="4"/>
          <w:sz w:val="32"/>
          <w:szCs w:val="32"/>
        </w:rPr>
      </w:pPr>
      <w:r>
        <w:rPr>
          <w:rFonts w:hint="eastAsia" w:ascii="仿宋_GB2312" w:hAnsi="仿宋_GB2312" w:eastAsia="仿宋_GB2312" w:cs="仿宋_GB2312"/>
          <w:b/>
          <w:bCs/>
          <w:spacing w:val="4"/>
          <w:sz w:val="32"/>
          <w:szCs w:val="32"/>
        </w:rPr>
        <w:t>标准值：</w:t>
      </w:r>
    </w:p>
    <w:p>
      <w:pPr>
        <w:pStyle w:val="2"/>
        <w:keepNext w:val="0"/>
        <w:keepLines w:val="0"/>
        <w:pageBreakBefore w:val="0"/>
        <w:widowControl w:val="0"/>
        <w:tabs>
          <w:tab w:val="left" w:pos="8820"/>
        </w:tabs>
        <w:kinsoku/>
        <w:wordWrap/>
        <w:overflowPunct w:val="0"/>
        <w:topLinePunct w:val="0"/>
        <w:autoSpaceDE w:val="0"/>
        <w:autoSpaceDN w:val="0"/>
        <w:bidi w:val="0"/>
        <w:adjustRightInd w:val="0"/>
        <w:snapToGrid w:val="0"/>
        <w:spacing w:line="560" w:lineRule="exact"/>
        <w:ind w:left="0" w:leftChars="0" w:right="0" w:rightChars="0" w:firstLine="656"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lang w:val="en-US" w:eastAsia="zh-CN"/>
        </w:rPr>
        <w:t>（1）</w:t>
      </w:r>
      <w:r>
        <w:rPr>
          <w:rFonts w:hint="eastAsia" w:ascii="仿宋_GB2312" w:hAnsi="仿宋_GB2312" w:eastAsia="仿宋_GB2312" w:cs="仿宋_GB2312"/>
          <w:spacing w:val="4"/>
          <w:sz w:val="32"/>
          <w:szCs w:val="32"/>
        </w:rPr>
        <w:t>综合、师范、民族院校生均占地面积≥54平方</w:t>
      </w:r>
      <w:r>
        <w:rPr>
          <w:rFonts w:hint="eastAsia" w:ascii="仿宋_GB2312" w:hAnsi="仿宋_GB2312" w:eastAsia="仿宋_GB2312" w:cs="仿宋_GB2312"/>
          <w:spacing w:val="3"/>
          <w:sz w:val="32"/>
          <w:szCs w:val="32"/>
        </w:rPr>
        <w:t>米/</w:t>
      </w:r>
      <w:r>
        <w:rPr>
          <w:rFonts w:hint="eastAsia" w:ascii="仿宋_GB2312" w:hAnsi="仿宋_GB2312" w:eastAsia="仿宋_GB2312" w:cs="仿宋_GB2312"/>
          <w:sz w:val="32"/>
          <w:szCs w:val="32"/>
        </w:rPr>
        <w:t>生，工、农、林、医学院校生均占地面积≥59平方米/生，</w:t>
      </w:r>
      <w:r>
        <w:rPr>
          <w:rFonts w:hint="eastAsia" w:ascii="仿宋_GB2312" w:hAnsi="仿宋_GB2312" w:eastAsia="仿宋_GB2312" w:cs="仿宋_GB2312"/>
          <w:spacing w:val="1"/>
          <w:sz w:val="32"/>
          <w:szCs w:val="32"/>
        </w:rPr>
        <w:t>语文、财经、政法院校生均占地面积≥54平方米/生，体育院校生均占地面积≥88平方米/生</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艺术院校生均占地面积</w:t>
      </w:r>
      <w:r>
        <w:rPr>
          <w:rFonts w:hint="eastAsia" w:ascii="仿宋_GB2312" w:hAnsi="仿宋_GB2312" w:eastAsia="仿宋_GB2312" w:cs="仿宋_GB2312"/>
          <w:spacing w:val="-13"/>
          <w:sz w:val="32"/>
          <w:szCs w:val="32"/>
        </w:rPr>
        <w:t>≥88平方米/生。</w:t>
      </w:r>
    </w:p>
    <w:p>
      <w:pPr>
        <w:pStyle w:val="2"/>
        <w:keepNext w:val="0"/>
        <w:keepLines w:val="0"/>
        <w:pageBreakBefore w:val="0"/>
        <w:widowControl w:val="0"/>
        <w:tabs>
          <w:tab w:val="left" w:pos="362"/>
          <w:tab w:val="left" w:pos="8820"/>
        </w:tabs>
        <w:kinsoku/>
        <w:wordWrap/>
        <w:overflowPunct w:val="0"/>
        <w:topLinePunct w:val="0"/>
        <w:autoSpaceDE w:val="0"/>
        <w:autoSpaceDN w:val="0"/>
        <w:bidi w:val="0"/>
        <w:adjustRightInd w:val="0"/>
        <w:snapToGrid w:val="0"/>
        <w:spacing w:line="560" w:lineRule="exact"/>
        <w:ind w:left="0" w:leftChars="0" w:right="0" w:rightChars="0" w:firstLine="676" w:firstLineChars="200"/>
        <w:jc w:val="both"/>
        <w:textAlignment w:val="baseline"/>
        <w:rPr>
          <w:rFonts w:hint="eastAsia" w:ascii="仿宋_GB2312" w:hAnsi="仿宋_GB2312" w:eastAsia="仿宋_GB2312" w:cs="仿宋_GB2312"/>
          <w:spacing w:val="9"/>
          <w:sz w:val="32"/>
          <w:szCs w:val="32"/>
        </w:rPr>
      </w:pPr>
      <w:r>
        <w:rPr>
          <w:rFonts w:hint="eastAsia" w:ascii="仿宋_GB2312" w:hAnsi="仿宋_GB2312" w:eastAsia="仿宋_GB2312" w:cs="仿宋_GB2312"/>
          <w:spacing w:val="9"/>
          <w:sz w:val="32"/>
          <w:szCs w:val="32"/>
          <w:lang w:val="en-US" w:eastAsia="zh-CN"/>
        </w:rPr>
        <w:t>（2）</w:t>
      </w:r>
      <w:r>
        <w:rPr>
          <w:rFonts w:hint="eastAsia" w:ascii="仿宋_GB2312" w:hAnsi="仿宋_GB2312" w:eastAsia="仿宋_GB2312" w:cs="仿宋_GB2312"/>
          <w:spacing w:val="9"/>
          <w:sz w:val="32"/>
          <w:szCs w:val="32"/>
        </w:rPr>
        <w:t>基本类生均体育场地设施面积(室外≥</w:t>
      </w:r>
      <w:r>
        <w:rPr>
          <w:rFonts w:hint="eastAsia" w:ascii="仿宋_GB2312" w:hAnsi="仿宋_GB2312" w:eastAsia="仿宋_GB2312" w:cs="仿宋_GB2312"/>
          <w:spacing w:val="9"/>
          <w:sz w:val="32"/>
          <w:szCs w:val="32"/>
          <w:lang w:val="en-US" w:eastAsia="zh-CN"/>
        </w:rPr>
        <w:t>4.</w:t>
      </w:r>
      <w:r>
        <w:rPr>
          <w:rFonts w:hint="eastAsia" w:ascii="仿宋_GB2312" w:hAnsi="仿宋_GB2312" w:eastAsia="仿宋_GB2312" w:cs="仿宋_GB2312"/>
          <w:spacing w:val="9"/>
          <w:sz w:val="32"/>
          <w:szCs w:val="32"/>
        </w:rPr>
        <w:t>7平方米/生，室内≥0.3平方米/生),发展类生均体育场地设施面积(室外≥</w:t>
      </w:r>
      <w:r>
        <w:rPr>
          <w:rFonts w:hint="eastAsia" w:ascii="仿宋_GB2312" w:hAnsi="仿宋_GB2312" w:eastAsia="仿宋_GB2312" w:cs="仿宋_GB2312"/>
          <w:spacing w:val="9"/>
          <w:sz w:val="32"/>
          <w:szCs w:val="32"/>
          <w:lang w:val="en-US" w:eastAsia="zh-CN"/>
        </w:rPr>
        <w:t>5.</w:t>
      </w:r>
      <w:r>
        <w:rPr>
          <w:rFonts w:hint="eastAsia" w:ascii="仿宋_GB2312" w:hAnsi="仿宋_GB2312" w:eastAsia="仿宋_GB2312" w:cs="仿宋_GB2312"/>
          <w:spacing w:val="9"/>
          <w:sz w:val="32"/>
          <w:szCs w:val="32"/>
        </w:rPr>
        <w:t>6平方米/生，室内≥0.4平方米/生)。生均体育场地设施面积(单一选项)分为“未达到基本类生均体育场地设施面积”“达到基本类未达到发展类生均体育场地设施面积”“达到发展类生均体育场地设施面积”。高职学校一般应达到基本类生均体育场地设施面积要求。</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en-US" w:bidi="ar-SA"/>
        </w:rPr>
      </w:pPr>
      <w:r>
        <w:rPr>
          <w:rFonts w:hint="eastAsia" w:ascii="黑体" w:hAnsi="黑体" w:eastAsia="黑体" w:cs="黑体"/>
          <w:b w:val="0"/>
          <w:bCs w:val="0"/>
          <w:snapToGrid w:val="0"/>
          <w:color w:val="000000"/>
          <w:spacing w:val="-2"/>
          <w:kern w:val="0"/>
          <w:sz w:val="32"/>
          <w:szCs w:val="32"/>
          <w:lang w:val="en-US" w:eastAsia="zh-CN" w:bidi="ar-SA"/>
        </w:rPr>
        <w:t>2.</w:t>
      </w:r>
      <w:r>
        <w:rPr>
          <w:rFonts w:hint="eastAsia" w:ascii="黑体" w:hAnsi="黑体" w:eastAsia="黑体" w:cs="黑体"/>
          <w:b w:val="0"/>
          <w:bCs w:val="0"/>
          <w:snapToGrid w:val="0"/>
          <w:color w:val="000000"/>
          <w:spacing w:val="-2"/>
          <w:kern w:val="0"/>
          <w:sz w:val="32"/>
          <w:szCs w:val="32"/>
          <w:lang w:val="en-US" w:eastAsia="en-US" w:bidi="ar-SA"/>
        </w:rPr>
        <w:t>生均宿舍</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textAlignment w:val="baseline"/>
        <w:rPr>
          <w:rFonts w:hint="eastAsia" w:ascii="仿宋_GB2312" w:hAnsi="仿宋_GB2312" w:eastAsia="仿宋_GB2312" w:cs="仿宋_GB2312"/>
          <w:spacing w:val="7"/>
          <w:sz w:val="32"/>
          <w:szCs w:val="32"/>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spacing w:val="-4"/>
          <w:sz w:val="32"/>
          <w:szCs w:val="32"/>
        </w:rPr>
        <w:t>《普通高等学校基本办学条件指</w:t>
      </w:r>
      <w:r>
        <w:rPr>
          <w:rFonts w:hint="eastAsia" w:ascii="仿宋_GB2312" w:hAnsi="仿宋_GB2312" w:eastAsia="仿宋_GB2312" w:cs="仿宋_GB2312"/>
          <w:spacing w:val="-4"/>
          <w:sz w:val="32"/>
          <w:szCs w:val="32"/>
          <w:lang w:eastAsia="zh-CN"/>
        </w:rPr>
        <w:t>标</w:t>
      </w:r>
      <w:r>
        <w:rPr>
          <w:rFonts w:hint="eastAsia" w:ascii="仿宋_GB2312" w:hAnsi="仿宋_GB2312" w:eastAsia="仿宋_GB2312" w:cs="仿宋_GB2312"/>
          <w:spacing w:val="-4"/>
          <w:sz w:val="32"/>
          <w:szCs w:val="32"/>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textAlignment w:val="baseline"/>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48"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
          <w:sz w:val="32"/>
          <w:szCs w:val="32"/>
          <w:lang w:val="en-US" w:eastAsia="zh-CN"/>
        </w:rPr>
        <w:t>（1）</w:t>
      </w:r>
      <w:r>
        <w:rPr>
          <w:rFonts w:hint="eastAsia" w:ascii="仿宋_GB2312" w:hAnsi="仿宋_GB2312" w:eastAsia="仿宋_GB2312" w:cs="仿宋_GB2312"/>
          <w:spacing w:val="2"/>
          <w:sz w:val="32"/>
          <w:szCs w:val="32"/>
        </w:rPr>
        <w:t>学生宿舍面积包括居室、盥洗室、厕所、活动室、</w:t>
      </w:r>
      <w:r>
        <w:rPr>
          <w:rFonts w:hint="eastAsia" w:ascii="仿宋_GB2312" w:hAnsi="仿宋_GB2312" w:eastAsia="仿宋_GB2312" w:cs="仿宋_GB2312"/>
          <w:spacing w:val="6"/>
          <w:sz w:val="32"/>
          <w:szCs w:val="32"/>
        </w:rPr>
        <w:t>辅导员及管理人员用房等。非学校产权的学生宿舍</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公寓</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7"/>
          <w:sz w:val="32"/>
          <w:szCs w:val="32"/>
        </w:rPr>
        <w:t>只填报独立使用建筑面积。</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728"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2"/>
          <w:sz w:val="32"/>
          <w:szCs w:val="32"/>
          <w:lang w:val="en-US" w:eastAsia="zh-CN"/>
        </w:rPr>
        <w:t>（2）</w:t>
      </w:r>
      <w:r>
        <w:rPr>
          <w:rFonts w:hint="eastAsia" w:ascii="仿宋_GB2312" w:hAnsi="仿宋_GB2312" w:eastAsia="仿宋_GB2312" w:cs="仿宋_GB2312"/>
          <w:spacing w:val="22"/>
          <w:sz w:val="32"/>
          <w:szCs w:val="32"/>
        </w:rPr>
        <w:t>全日制学生数=普通专科</w:t>
      </w:r>
      <w:r>
        <w:rPr>
          <w:rFonts w:hint="eastAsia" w:ascii="仿宋_GB2312" w:hAnsi="仿宋_GB2312" w:eastAsia="仿宋_GB2312" w:cs="仿宋_GB2312"/>
          <w:spacing w:val="22"/>
          <w:sz w:val="32"/>
          <w:szCs w:val="32"/>
          <w:lang w:eastAsia="zh-CN"/>
        </w:rPr>
        <w:t>（</w:t>
      </w:r>
      <w:r>
        <w:rPr>
          <w:rFonts w:hint="eastAsia" w:ascii="仿宋_GB2312" w:hAnsi="仿宋_GB2312" w:eastAsia="仿宋_GB2312" w:cs="仿宋_GB2312"/>
          <w:spacing w:val="22"/>
          <w:sz w:val="32"/>
          <w:szCs w:val="32"/>
        </w:rPr>
        <w:t>高职</w:t>
      </w:r>
      <w:r>
        <w:rPr>
          <w:rFonts w:hint="eastAsia" w:ascii="仿宋_GB2312" w:hAnsi="仿宋_GB2312" w:eastAsia="仿宋_GB2312" w:cs="仿宋_GB2312"/>
          <w:spacing w:val="22"/>
          <w:sz w:val="32"/>
          <w:szCs w:val="32"/>
          <w:lang w:eastAsia="zh-CN"/>
        </w:rPr>
        <w:t>）</w:t>
      </w:r>
      <w:r>
        <w:rPr>
          <w:rFonts w:hint="eastAsia" w:ascii="仿宋_GB2312" w:hAnsi="仿宋_GB2312" w:eastAsia="仿宋_GB2312" w:cs="仿宋_GB2312"/>
          <w:spacing w:val="22"/>
          <w:sz w:val="32"/>
          <w:szCs w:val="32"/>
        </w:rPr>
        <w:t>在校生数+留学</w:t>
      </w:r>
      <w:r>
        <w:rPr>
          <w:rFonts w:hint="eastAsia" w:ascii="仿宋_GB2312" w:hAnsi="仿宋_GB2312" w:eastAsia="仿宋_GB2312" w:cs="仿宋_GB2312"/>
          <w:spacing w:val="8"/>
          <w:sz w:val="32"/>
          <w:szCs w:val="32"/>
        </w:rPr>
        <w:t>生专科在校生数+预科生数+进修生数+成人</w:t>
      </w:r>
      <w:r>
        <w:rPr>
          <w:rFonts w:hint="eastAsia" w:ascii="仿宋_GB2312" w:hAnsi="仿宋_GB2312" w:eastAsia="仿宋_GB2312" w:cs="仿宋_GB2312"/>
          <w:spacing w:val="7"/>
          <w:sz w:val="32"/>
          <w:szCs w:val="32"/>
        </w:rPr>
        <w:t>脱产班学生数+</w:t>
      </w:r>
      <w:r>
        <w:rPr>
          <w:rFonts w:hint="eastAsia" w:ascii="仿宋_GB2312" w:hAnsi="仿宋_GB2312" w:eastAsia="仿宋_GB2312" w:cs="仿宋_GB2312"/>
          <w:spacing w:val="-9"/>
          <w:sz w:val="32"/>
          <w:szCs w:val="32"/>
        </w:rPr>
        <w:t>附设中职班在校生数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lang w:val="en-US" w:eastAsia="zh-CN"/>
        </w:rPr>
        <w:t>（3）</w:t>
      </w:r>
      <w:r>
        <w:rPr>
          <w:rFonts w:hint="eastAsia" w:ascii="仿宋_GB2312" w:hAnsi="仿宋_GB2312" w:eastAsia="仿宋_GB2312" w:cs="仿宋_GB2312"/>
          <w:spacing w:val="3"/>
          <w:sz w:val="32"/>
          <w:szCs w:val="32"/>
        </w:rPr>
        <w:t>生均学生宿舍面积=学生宿舍面积/全日制学</w:t>
      </w:r>
      <w:r>
        <w:rPr>
          <w:rFonts w:hint="eastAsia" w:ascii="仿宋_GB2312" w:hAnsi="仿宋_GB2312" w:eastAsia="仿宋_GB2312" w:cs="仿宋_GB2312"/>
          <w:spacing w:val="2"/>
          <w:sz w:val="32"/>
          <w:szCs w:val="32"/>
        </w:rPr>
        <w:t>生数</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3.生均教学行政用房</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spacing w:val="-1"/>
          <w:sz w:val="32"/>
          <w:szCs w:val="32"/>
        </w:rPr>
        <w:t>《职业学校办学条件重点监测指</w:t>
      </w:r>
      <w:r>
        <w:rPr>
          <w:rFonts w:hint="eastAsia" w:ascii="仿宋_GB2312" w:hAnsi="仿宋_GB2312" w:eastAsia="仿宋_GB2312" w:cs="仿宋_GB2312"/>
          <w:spacing w:val="-1"/>
          <w:sz w:val="32"/>
          <w:szCs w:val="32"/>
          <w:lang w:eastAsia="zh-CN"/>
        </w:rPr>
        <w:t>标</w:t>
      </w:r>
      <w:r>
        <w:rPr>
          <w:rFonts w:hint="eastAsia" w:ascii="仿宋_GB2312" w:hAnsi="仿宋_GB2312" w:eastAsia="仿宋_GB2312" w:cs="仿宋_GB2312"/>
          <w:spacing w:val="-1"/>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textAlignment w:val="baseline"/>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44"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1"/>
          <w:sz w:val="32"/>
          <w:szCs w:val="32"/>
          <w:lang w:val="en-US" w:eastAsia="zh-CN"/>
        </w:rPr>
        <w:t>（1）</w:t>
      </w:r>
      <w:r>
        <w:rPr>
          <w:rFonts w:hint="eastAsia" w:ascii="仿宋_GB2312" w:hAnsi="仿宋_GB2312" w:eastAsia="仿宋_GB2312" w:cs="仿宋_GB2312"/>
          <w:spacing w:val="1"/>
          <w:sz w:val="32"/>
          <w:szCs w:val="32"/>
        </w:rPr>
        <w:t>教学科研及辅助用房包括教室、图书馆、实验室、</w:t>
      </w:r>
      <w:r>
        <w:rPr>
          <w:rFonts w:hint="eastAsia" w:ascii="仿宋_GB2312" w:hAnsi="仿宋_GB2312" w:eastAsia="仿宋_GB2312" w:cs="仿宋_GB2312"/>
          <w:spacing w:val="-3"/>
          <w:sz w:val="32"/>
          <w:szCs w:val="32"/>
        </w:rPr>
        <w:t>实习场所、专用科研用房、体育馆、艺术场馆、会堂等</w:t>
      </w:r>
      <w:r>
        <w:rPr>
          <w:rFonts w:hint="eastAsia" w:ascii="仿宋_GB2312" w:hAnsi="仿宋_GB2312" w:eastAsia="仿宋_GB2312" w:cs="仿宋_GB2312"/>
          <w:spacing w:val="-4"/>
          <w:sz w:val="32"/>
          <w:szCs w:val="32"/>
        </w:rPr>
        <w:t>。行</w:t>
      </w:r>
      <w:r>
        <w:rPr>
          <w:rFonts w:hint="eastAsia" w:ascii="仿宋_GB2312" w:hAnsi="仿宋_GB2312" w:eastAsia="仿宋_GB2312" w:cs="仿宋_GB2312"/>
          <w:spacing w:val="-3"/>
          <w:sz w:val="32"/>
          <w:szCs w:val="32"/>
        </w:rPr>
        <w:t>政用房包括校行政办公用房和学院办公用房。校行政办公用</w:t>
      </w:r>
      <w:r>
        <w:rPr>
          <w:rFonts w:hint="eastAsia" w:ascii="仿宋_GB2312" w:hAnsi="仿宋_GB2312" w:eastAsia="仿宋_GB2312" w:cs="仿宋_GB2312"/>
          <w:spacing w:val="-10"/>
          <w:sz w:val="32"/>
          <w:szCs w:val="32"/>
        </w:rPr>
        <w:t>房包括校级党政办公室、会议室、校史室、档案</w:t>
      </w:r>
      <w:r>
        <w:rPr>
          <w:rFonts w:hint="eastAsia" w:ascii="仿宋_GB2312" w:hAnsi="仿宋_GB2312" w:eastAsia="仿宋_GB2312" w:cs="仿宋_GB2312"/>
          <w:spacing w:val="-11"/>
          <w:sz w:val="32"/>
          <w:szCs w:val="32"/>
        </w:rPr>
        <w:t>室、文印室、</w:t>
      </w:r>
      <w:r>
        <w:rPr>
          <w:rFonts w:hint="eastAsia" w:ascii="仿宋_GB2312" w:hAnsi="仿宋_GB2312" w:eastAsia="仿宋_GB2312" w:cs="仿宋_GB2312"/>
          <w:spacing w:val="-5"/>
          <w:sz w:val="32"/>
          <w:szCs w:val="32"/>
        </w:rPr>
        <w:t>广播室、接待室、网络中心、财务结算中心</w:t>
      </w:r>
      <w:r>
        <w:rPr>
          <w:rFonts w:hint="eastAsia" w:ascii="仿宋_GB2312" w:hAnsi="仿宋_GB2312" w:eastAsia="仿宋_GB2312" w:cs="仿宋_GB2312"/>
          <w:spacing w:val="-5"/>
          <w:sz w:val="32"/>
          <w:szCs w:val="32"/>
          <w:lang w:eastAsia="zh-CN"/>
        </w:rPr>
        <w:t>。</w:t>
      </w:r>
    </w:p>
    <w:p>
      <w:pPr>
        <w:pStyle w:val="2"/>
        <w:keepNext w:val="0"/>
        <w:keepLines w:val="0"/>
        <w:pageBreakBefore w:val="0"/>
        <w:widowControl w:val="0"/>
        <w:tabs>
          <w:tab w:val="left" w:pos="8820"/>
        </w:tabs>
        <w:kinsoku/>
        <w:wordWrap/>
        <w:overflowPunct w:val="0"/>
        <w:topLinePunct w:val="0"/>
        <w:autoSpaceDE w:val="0"/>
        <w:autoSpaceDN w:val="0"/>
        <w:bidi w:val="0"/>
        <w:adjustRightInd w:val="0"/>
        <w:snapToGrid w:val="0"/>
        <w:spacing w:line="560" w:lineRule="exact"/>
        <w:ind w:left="0" w:leftChars="0" w:right="0" w:rightChars="0" w:firstLine="728"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2"/>
          <w:sz w:val="32"/>
          <w:szCs w:val="32"/>
          <w:lang w:val="en-US" w:eastAsia="zh-CN"/>
        </w:rPr>
        <w:t>（2）</w:t>
      </w:r>
      <w:r>
        <w:rPr>
          <w:rFonts w:hint="eastAsia" w:ascii="仿宋_GB2312" w:hAnsi="仿宋_GB2312" w:eastAsia="仿宋_GB2312" w:cs="仿宋_GB2312"/>
          <w:spacing w:val="22"/>
          <w:sz w:val="32"/>
          <w:szCs w:val="32"/>
        </w:rPr>
        <w:t>全日制学生数=普通专科</w:t>
      </w:r>
      <w:r>
        <w:rPr>
          <w:rFonts w:hint="eastAsia" w:ascii="仿宋_GB2312" w:hAnsi="仿宋_GB2312" w:eastAsia="仿宋_GB2312" w:cs="仿宋_GB2312"/>
          <w:spacing w:val="22"/>
          <w:sz w:val="32"/>
          <w:szCs w:val="32"/>
          <w:lang w:eastAsia="zh-CN"/>
        </w:rPr>
        <w:t>（</w:t>
      </w:r>
      <w:r>
        <w:rPr>
          <w:rFonts w:hint="eastAsia" w:ascii="仿宋_GB2312" w:hAnsi="仿宋_GB2312" w:eastAsia="仿宋_GB2312" w:cs="仿宋_GB2312"/>
          <w:spacing w:val="22"/>
          <w:sz w:val="32"/>
          <w:szCs w:val="32"/>
        </w:rPr>
        <w:t>高职</w:t>
      </w:r>
      <w:r>
        <w:rPr>
          <w:rFonts w:hint="eastAsia" w:ascii="仿宋_GB2312" w:hAnsi="仿宋_GB2312" w:eastAsia="仿宋_GB2312" w:cs="仿宋_GB2312"/>
          <w:spacing w:val="22"/>
          <w:sz w:val="32"/>
          <w:szCs w:val="32"/>
          <w:lang w:eastAsia="zh-CN"/>
        </w:rPr>
        <w:t>）</w:t>
      </w:r>
      <w:r>
        <w:rPr>
          <w:rFonts w:hint="eastAsia" w:ascii="仿宋_GB2312" w:hAnsi="仿宋_GB2312" w:eastAsia="仿宋_GB2312" w:cs="仿宋_GB2312"/>
          <w:spacing w:val="22"/>
          <w:sz w:val="32"/>
          <w:szCs w:val="32"/>
        </w:rPr>
        <w:t>在校生数+留学</w:t>
      </w:r>
      <w:r>
        <w:rPr>
          <w:rFonts w:hint="eastAsia" w:ascii="仿宋_GB2312" w:hAnsi="仿宋_GB2312" w:eastAsia="仿宋_GB2312" w:cs="仿宋_GB2312"/>
          <w:spacing w:val="9"/>
          <w:sz w:val="32"/>
          <w:szCs w:val="32"/>
        </w:rPr>
        <w:t>生专科在校生数+预科生数+进修生数+成人脱产班学</w:t>
      </w:r>
      <w:r>
        <w:rPr>
          <w:rFonts w:hint="eastAsia" w:ascii="仿宋_GB2312" w:hAnsi="仿宋_GB2312" w:eastAsia="仿宋_GB2312" w:cs="仿宋_GB2312"/>
          <w:spacing w:val="8"/>
          <w:sz w:val="32"/>
          <w:szCs w:val="32"/>
        </w:rPr>
        <w:t>生数+</w:t>
      </w:r>
      <w:r>
        <w:rPr>
          <w:rFonts w:hint="eastAsia" w:ascii="仿宋_GB2312" w:hAnsi="仿宋_GB2312" w:eastAsia="仿宋_GB2312" w:cs="仿宋_GB2312"/>
          <w:spacing w:val="-8"/>
          <w:sz w:val="32"/>
          <w:szCs w:val="32"/>
        </w:rPr>
        <w:t>附设中职班在校生数</w:t>
      </w:r>
    </w:p>
    <w:p>
      <w:pPr>
        <w:pStyle w:val="2"/>
        <w:keepNext w:val="0"/>
        <w:keepLines w:val="0"/>
        <w:pageBreakBefore w:val="0"/>
        <w:widowControl w:val="0"/>
        <w:tabs>
          <w:tab w:val="left" w:pos="8820"/>
        </w:tabs>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lang w:val="en-US" w:eastAsia="zh-CN"/>
        </w:rPr>
        <w:t>（3）</w:t>
      </w:r>
      <w:r>
        <w:rPr>
          <w:rFonts w:hint="eastAsia" w:ascii="仿宋_GB2312" w:hAnsi="仿宋_GB2312" w:eastAsia="仿宋_GB2312" w:cs="仿宋_GB2312"/>
          <w:spacing w:val="10"/>
          <w:sz w:val="32"/>
          <w:szCs w:val="32"/>
        </w:rPr>
        <w:t>生均教学行政用房面积=</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教学科研及辅助用房面</w:t>
      </w:r>
      <w:r>
        <w:rPr>
          <w:rFonts w:hint="eastAsia" w:ascii="仿宋_GB2312" w:hAnsi="仿宋_GB2312" w:eastAsia="仿宋_GB2312" w:cs="仿宋_GB2312"/>
          <w:spacing w:val="5"/>
          <w:sz w:val="32"/>
          <w:szCs w:val="32"/>
        </w:rPr>
        <w:t>积+行政用房面积</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5"/>
          <w:sz w:val="32"/>
          <w:szCs w:val="32"/>
        </w:rPr>
        <w:t>/全日制学生数</w:t>
      </w:r>
    </w:p>
    <w:p>
      <w:pPr>
        <w:pStyle w:val="2"/>
        <w:keepNext w:val="0"/>
        <w:keepLines w:val="0"/>
        <w:pageBreakBefore w:val="0"/>
        <w:widowControl w:val="0"/>
        <w:tabs>
          <w:tab w:val="left" w:pos="8820"/>
        </w:tabs>
        <w:kinsoku/>
        <w:wordWrap/>
        <w:overflowPunct w:val="0"/>
        <w:topLinePunct w:val="0"/>
        <w:autoSpaceDE w:val="0"/>
        <w:autoSpaceDN w:val="0"/>
        <w:bidi w:val="0"/>
        <w:adjustRightInd w:val="0"/>
        <w:snapToGrid w:val="0"/>
        <w:spacing w:line="560" w:lineRule="exact"/>
        <w:ind w:left="0" w:leftChars="0" w:right="0" w:rightChars="0" w:firstLine="650" w:firstLineChars="200"/>
        <w:jc w:val="both"/>
        <w:textAlignment w:val="baseline"/>
        <w:rPr>
          <w:rFonts w:ascii="Arial"/>
          <w:sz w:val="21"/>
        </w:rPr>
      </w:pPr>
      <w:r>
        <w:rPr>
          <w:rFonts w:hint="eastAsia" w:ascii="仿宋_GB2312" w:hAnsi="仿宋_GB2312" w:eastAsia="仿宋_GB2312" w:cs="仿宋_GB2312"/>
          <w:b/>
          <w:bCs/>
          <w:snapToGrid w:val="0"/>
          <w:color w:val="000000"/>
          <w:spacing w:val="2"/>
          <w:kern w:val="0"/>
          <w:sz w:val="32"/>
          <w:szCs w:val="32"/>
          <w:lang w:val="en-US" w:eastAsia="zh-CN" w:bidi="ar-SA"/>
        </w:rPr>
        <w:t>标准值：</w:t>
      </w:r>
      <w:r>
        <w:rPr>
          <w:rFonts w:hint="eastAsia" w:ascii="仿宋_GB2312" w:hAnsi="仿宋_GB2312" w:eastAsia="仿宋_GB2312" w:cs="仿宋_GB2312"/>
          <w:spacing w:val="-3"/>
          <w:sz w:val="32"/>
          <w:szCs w:val="32"/>
        </w:rPr>
        <w:t>综合、师范、民族院校生均教学行政用房面积</w:t>
      </w:r>
      <w:r>
        <w:rPr>
          <w:rFonts w:hint="eastAsia" w:ascii="仿宋_GB2312" w:hAnsi="仿宋_GB2312" w:eastAsia="仿宋_GB2312" w:cs="仿宋_GB2312"/>
          <w:spacing w:val="2"/>
          <w:sz w:val="32"/>
          <w:szCs w:val="32"/>
        </w:rPr>
        <w:t>≥14平方米/生，工、农、林院校生均教学行政用房面积≥</w:t>
      </w:r>
      <w:r>
        <w:rPr>
          <w:rFonts w:hint="eastAsia" w:ascii="仿宋_GB2312" w:hAnsi="仿宋_GB2312" w:eastAsia="仿宋_GB2312" w:cs="仿宋_GB2312"/>
          <w:spacing w:val="-2"/>
          <w:sz w:val="32"/>
          <w:szCs w:val="32"/>
        </w:rPr>
        <w:t>16平方米/生，医学院校生均教学行政用</w:t>
      </w:r>
      <w:r>
        <w:rPr>
          <w:rFonts w:hint="eastAsia" w:ascii="仿宋_GB2312" w:hAnsi="仿宋_GB2312" w:eastAsia="仿宋_GB2312" w:cs="仿宋_GB2312"/>
          <w:spacing w:val="-3"/>
          <w:sz w:val="32"/>
          <w:szCs w:val="32"/>
        </w:rPr>
        <w:t>房面积≥16平方米/</w:t>
      </w:r>
      <w:r>
        <w:rPr>
          <w:rFonts w:hint="eastAsia" w:ascii="仿宋_GB2312" w:hAnsi="仿宋_GB2312" w:eastAsia="仿宋_GB2312" w:cs="仿宋_GB2312"/>
          <w:spacing w:val="2"/>
          <w:sz w:val="32"/>
          <w:szCs w:val="32"/>
        </w:rPr>
        <w:t>生，语文、财经、政法院校生均教学行政用房面积≥9平方</w:t>
      </w:r>
      <w:r>
        <w:rPr>
          <w:rFonts w:hint="eastAsia" w:ascii="仿宋_GB2312" w:hAnsi="仿宋_GB2312" w:eastAsia="仿宋_GB2312" w:cs="仿宋_GB2312"/>
          <w:spacing w:val="-3"/>
          <w:sz w:val="32"/>
          <w:szCs w:val="32"/>
        </w:rPr>
        <w:t>米/生，体育院校生均教学行政用房面积≥</w:t>
      </w:r>
      <w:r>
        <w:rPr>
          <w:rFonts w:hint="eastAsia" w:ascii="仿宋_GB2312" w:hAnsi="仿宋_GB2312" w:eastAsia="仿宋_GB2312" w:cs="仿宋_GB2312"/>
          <w:spacing w:val="-4"/>
          <w:sz w:val="32"/>
          <w:szCs w:val="32"/>
        </w:rPr>
        <w:t>22平方米/生，艺</w:t>
      </w:r>
      <w:r>
        <w:rPr>
          <w:rFonts w:hint="eastAsia" w:ascii="仿宋_GB2312" w:hAnsi="仿宋_GB2312" w:eastAsia="仿宋_GB2312" w:cs="仿宋_GB2312"/>
          <w:spacing w:val="-3"/>
          <w:sz w:val="32"/>
          <w:szCs w:val="32"/>
        </w:rPr>
        <w:t>术院校生均教学行政用房面积≥18平方米/生</w:t>
      </w:r>
      <w:r>
        <w:rPr>
          <w:rFonts w:hint="eastAsia" w:ascii="仿宋_GB2312" w:hAnsi="仿宋_GB2312" w:eastAsia="仿宋_GB2312" w:cs="仿宋_GB2312"/>
          <w:spacing w:val="-3"/>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420" w:firstLineChars="200"/>
        <w:jc w:val="both"/>
        <w:textAlignment w:val="baseline"/>
        <w:rPr>
          <w:rFonts w:ascii="Arial"/>
          <w:sz w:val="21"/>
        </w:rPr>
      </w:pP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jc w:val="center"/>
        <w:textAlignment w:val="baseline"/>
        <w:rPr>
          <w:rFonts w:hint="eastAsia" w:ascii="黑体" w:hAnsi="黑体" w:eastAsia="黑体" w:cs="黑体"/>
          <w:b w:val="0"/>
          <w:bCs w:val="0"/>
          <w:spacing w:val="-7"/>
          <w:sz w:val="32"/>
          <w:szCs w:val="32"/>
        </w:rPr>
      </w:pPr>
      <w:r>
        <w:rPr>
          <w:rFonts w:hint="eastAsia" w:ascii="黑体" w:hAnsi="黑体" w:eastAsia="黑体" w:cs="黑体"/>
          <w:b w:val="0"/>
          <w:bCs w:val="0"/>
          <w:spacing w:val="-7"/>
          <w:sz w:val="32"/>
          <w:szCs w:val="32"/>
        </w:rPr>
        <w:t>【指标二】教学条件</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4.图书资源</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spacing w:val="4"/>
          <w:sz w:val="32"/>
          <w:szCs w:val="32"/>
        </w:rPr>
        <w:t>生</w:t>
      </w:r>
      <w:r>
        <w:rPr>
          <w:rFonts w:hint="eastAsia" w:ascii="仿宋_GB2312" w:hAnsi="仿宋_GB2312" w:eastAsia="仿宋_GB2312" w:cs="仿宋_GB2312"/>
          <w:spacing w:val="-4"/>
          <w:sz w:val="32"/>
          <w:szCs w:val="32"/>
        </w:rPr>
        <w:t>均图书来源于《职业学校办学条件重点监</w:t>
      </w:r>
      <w:r>
        <w:rPr>
          <w:rFonts w:hint="eastAsia" w:ascii="仿宋_GB2312" w:hAnsi="仿宋_GB2312" w:eastAsia="仿宋_GB2312" w:cs="仿宋_GB2312"/>
          <w:spacing w:val="4"/>
          <w:sz w:val="32"/>
          <w:szCs w:val="32"/>
        </w:rPr>
        <w:t>测指标》,生均年进书量来源于《普通高等</w:t>
      </w:r>
      <w:r>
        <w:rPr>
          <w:rFonts w:hint="eastAsia" w:ascii="仿宋_GB2312" w:hAnsi="仿宋_GB2312" w:eastAsia="仿宋_GB2312" w:cs="仿宋_GB2312"/>
          <w:spacing w:val="3"/>
          <w:sz w:val="32"/>
          <w:szCs w:val="32"/>
        </w:rPr>
        <w:t>学校基本办学条</w:t>
      </w:r>
      <w:r>
        <w:rPr>
          <w:rFonts w:hint="eastAsia" w:ascii="仿宋_GB2312" w:hAnsi="仿宋_GB2312" w:eastAsia="仿宋_GB2312" w:cs="仿宋_GB2312"/>
          <w:spacing w:val="-1"/>
          <w:sz w:val="32"/>
          <w:szCs w:val="32"/>
        </w:rPr>
        <w:t>件指标》</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en-US" w:bidi="ar-SA"/>
        </w:rPr>
      </w:pPr>
      <w:r>
        <w:rPr>
          <w:rFonts w:hint="eastAsia" w:ascii="仿宋_GB2312" w:hAnsi="仿宋_GB2312" w:eastAsia="仿宋_GB2312" w:cs="仿宋_GB2312"/>
          <w:b/>
          <w:bCs/>
          <w:snapToGrid w:val="0"/>
          <w:color w:val="000000"/>
          <w:spacing w:val="2"/>
          <w:kern w:val="0"/>
          <w:sz w:val="32"/>
          <w:szCs w:val="32"/>
          <w:lang w:val="en-US" w:eastAsia="en-US" w:bidi="ar-SA"/>
        </w:rPr>
        <w:t>统计口径及计算方法：</w:t>
      </w:r>
    </w:p>
    <w:p>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0" w:leftChars="0" w:right="0" w:rightChars="0" w:firstLine="656" w:firstLineChars="200"/>
        <w:jc w:val="both"/>
        <w:textAlignment w:val="baseline"/>
        <w:rPr>
          <w:rFonts w:hint="eastAsia" w:ascii="仿宋_GB2312" w:hAnsi="仿宋_GB2312" w:eastAsia="仿宋_GB2312" w:cs="仿宋_GB2312"/>
          <w:spacing w:val="5"/>
          <w:sz w:val="32"/>
          <w:szCs w:val="32"/>
        </w:rPr>
      </w:pPr>
      <w:r>
        <w:rPr>
          <w:rFonts w:hint="eastAsia" w:ascii="仿宋_GB2312" w:hAnsi="仿宋_GB2312" w:eastAsia="仿宋_GB2312" w:cs="仿宋_GB2312"/>
          <w:snapToGrid w:val="0"/>
          <w:color w:val="000000"/>
          <w:spacing w:val="4"/>
          <w:kern w:val="0"/>
          <w:sz w:val="32"/>
          <w:szCs w:val="32"/>
          <w:lang w:val="en-US" w:eastAsia="zh-CN" w:bidi="ar-SA"/>
        </w:rPr>
        <w:t>（1）</w:t>
      </w:r>
      <w:r>
        <w:rPr>
          <w:rFonts w:hint="eastAsia" w:ascii="仿宋_GB2312" w:hAnsi="仿宋_GB2312" w:eastAsia="仿宋_GB2312" w:cs="仿宋_GB2312"/>
          <w:snapToGrid w:val="0"/>
          <w:color w:val="000000"/>
          <w:spacing w:val="4"/>
          <w:kern w:val="0"/>
          <w:sz w:val="32"/>
          <w:szCs w:val="32"/>
          <w:lang w:val="en-US" w:eastAsia="en-US" w:bidi="ar-SA"/>
        </w:rPr>
        <w:t>图书包括纸质图书和数字资</w:t>
      </w:r>
      <w:r>
        <w:rPr>
          <w:rFonts w:hint="eastAsia" w:ascii="仿宋_GB2312" w:hAnsi="仿宋_GB2312" w:eastAsia="仿宋_GB2312" w:cs="仿宋_GB2312"/>
          <w:spacing w:val="5"/>
          <w:sz w:val="32"/>
          <w:szCs w:val="32"/>
        </w:rPr>
        <w:t>源。</w:t>
      </w:r>
    </w:p>
    <w:p>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0" w:leftChars="0" w:right="0" w:rightChars="0" w:firstLine="676"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9"/>
          <w:sz w:val="32"/>
          <w:szCs w:val="32"/>
        </w:rPr>
        <w:t>纸质图书是指学校图书馆及资料室拥有的正式出版的</w:t>
      </w:r>
      <w:r>
        <w:rPr>
          <w:rFonts w:hint="eastAsia" w:ascii="仿宋_GB2312" w:hAnsi="仿宋_GB2312" w:eastAsia="仿宋_GB2312" w:cs="仿宋_GB2312"/>
          <w:spacing w:val="-11"/>
          <w:sz w:val="32"/>
          <w:szCs w:val="32"/>
        </w:rPr>
        <w:t>纸质书籍。</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rPr>
        <w:t>数字资源包括电子图书、电子期刊、学位论文</w:t>
      </w:r>
      <w:r>
        <w:rPr>
          <w:rFonts w:hint="eastAsia" w:ascii="仿宋_GB2312" w:hAnsi="仿宋_GB2312" w:eastAsia="仿宋_GB2312" w:cs="仿宋_GB2312"/>
          <w:spacing w:val="-4"/>
          <w:sz w:val="32"/>
          <w:szCs w:val="32"/>
        </w:rPr>
        <w:t>及音视频</w:t>
      </w:r>
      <w:r>
        <w:rPr>
          <w:rFonts w:hint="eastAsia" w:ascii="仿宋_GB2312" w:hAnsi="仿宋_GB2312" w:eastAsia="仿宋_GB2312" w:cs="仿宋_GB2312"/>
          <w:spacing w:val="-3"/>
          <w:sz w:val="32"/>
          <w:szCs w:val="32"/>
        </w:rPr>
        <w:t>等，试用的数字资源和免费使用的数字资源及随纸本书刊所</w:t>
      </w:r>
      <w:r>
        <w:rPr>
          <w:rFonts w:hint="eastAsia" w:ascii="仿宋_GB2312" w:hAnsi="仿宋_GB2312" w:eastAsia="仿宋_GB2312" w:cs="仿宋_GB2312"/>
          <w:spacing w:val="-4"/>
          <w:sz w:val="32"/>
          <w:szCs w:val="32"/>
        </w:rPr>
        <w:t>配的光盘以及非书资料等不作为数字资源计量。数字资源折</w:t>
      </w:r>
      <w:r>
        <w:rPr>
          <w:rFonts w:hint="eastAsia" w:ascii="仿宋_GB2312" w:hAnsi="仿宋_GB2312" w:eastAsia="仿宋_GB2312" w:cs="仿宋_GB2312"/>
          <w:spacing w:val="-3"/>
          <w:sz w:val="32"/>
          <w:szCs w:val="32"/>
        </w:rPr>
        <w:t>合后计入图书资源总量，且所占比例最高不超过图</w:t>
      </w:r>
      <w:r>
        <w:rPr>
          <w:rFonts w:hint="eastAsia" w:ascii="仿宋_GB2312" w:hAnsi="仿宋_GB2312" w:eastAsia="仿宋_GB2312" w:cs="仿宋_GB2312"/>
          <w:spacing w:val="-4"/>
          <w:sz w:val="32"/>
          <w:szCs w:val="32"/>
        </w:rPr>
        <w:t>书资源总</w:t>
      </w:r>
      <w:r>
        <w:rPr>
          <w:rFonts w:hint="eastAsia" w:ascii="仿宋_GB2312" w:hAnsi="仿宋_GB2312" w:eastAsia="仿宋_GB2312" w:cs="仿宋_GB2312"/>
          <w:spacing w:val="13"/>
          <w:sz w:val="32"/>
          <w:szCs w:val="32"/>
        </w:rPr>
        <w:t>量的40%。</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4"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rPr>
        <w:t>其中，电子图书是指统计纳入馆藏目录可供使用的电子图书的数量，包括与图书类似的出版物，如研究报告、会议</w:t>
      </w:r>
      <w:r>
        <w:rPr>
          <w:rFonts w:hint="eastAsia" w:ascii="仿宋_GB2312" w:hAnsi="仿宋_GB2312" w:eastAsia="仿宋_GB2312" w:cs="仿宋_GB2312"/>
          <w:spacing w:val="-3"/>
          <w:sz w:val="32"/>
          <w:szCs w:val="32"/>
        </w:rPr>
        <w:t>论文集、标准等以全文电子图书数据库形式和按单种挑选订</w:t>
      </w:r>
      <w:r>
        <w:rPr>
          <w:rFonts w:hint="eastAsia" w:ascii="仿宋_GB2312" w:hAnsi="仿宋_GB2312" w:eastAsia="仿宋_GB2312" w:cs="仿宋_GB2312"/>
          <w:spacing w:val="9"/>
          <w:sz w:val="32"/>
          <w:szCs w:val="32"/>
        </w:rPr>
        <w:t>购的电子图书。电子图书1种算1册，不同数据库包含的同</w:t>
      </w:r>
      <w:r>
        <w:rPr>
          <w:rFonts w:hint="eastAsia" w:ascii="仿宋_GB2312" w:hAnsi="仿宋_GB2312" w:eastAsia="仿宋_GB2312" w:cs="仿宋_GB2312"/>
          <w:spacing w:val="-11"/>
          <w:sz w:val="32"/>
          <w:szCs w:val="32"/>
        </w:rPr>
        <w:t>种书分别计算。</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电子期刊是指统计纳入馆藏目录可供使用的全文电子</w:t>
      </w:r>
      <w:r>
        <w:rPr>
          <w:rFonts w:hint="eastAsia" w:ascii="仿宋_GB2312" w:hAnsi="仿宋_GB2312" w:eastAsia="仿宋_GB2312" w:cs="仿宋_GB2312"/>
          <w:spacing w:val="-4"/>
          <w:sz w:val="32"/>
          <w:szCs w:val="32"/>
        </w:rPr>
        <w:t>期刊的数量，包括与期刊类似的连续出版物等以全文电子期刊数据库形式和按单种挑选订购的全文电子期刊。中文电子</w:t>
      </w:r>
      <w:r>
        <w:rPr>
          <w:rFonts w:hint="eastAsia" w:ascii="仿宋_GB2312" w:hAnsi="仿宋_GB2312" w:eastAsia="仿宋_GB2312" w:cs="仿宋_GB2312"/>
          <w:spacing w:val="17"/>
          <w:sz w:val="32"/>
          <w:szCs w:val="32"/>
        </w:rPr>
        <w:t>期刊每种每年算1册</w:t>
      </w:r>
      <w:r>
        <w:rPr>
          <w:rFonts w:hint="eastAsia" w:ascii="仿宋_GB2312" w:hAnsi="仿宋_GB2312" w:eastAsia="仿宋_GB2312" w:cs="仿宋_GB2312"/>
          <w:spacing w:val="17"/>
          <w:sz w:val="32"/>
          <w:szCs w:val="32"/>
          <w:lang w:eastAsia="zh-CN"/>
        </w:rPr>
        <w:t>，</w:t>
      </w:r>
      <w:r>
        <w:rPr>
          <w:rFonts w:hint="eastAsia" w:ascii="仿宋_GB2312" w:hAnsi="仿宋_GB2312" w:eastAsia="仿宋_GB2312" w:cs="仿宋_GB2312"/>
          <w:spacing w:val="17"/>
          <w:sz w:val="32"/>
          <w:szCs w:val="32"/>
        </w:rPr>
        <w:t>外文电子期刊每种每年算2册，不</w:t>
      </w:r>
      <w:r>
        <w:rPr>
          <w:rFonts w:hint="eastAsia" w:ascii="仿宋_GB2312" w:hAnsi="仿宋_GB2312" w:eastAsia="仿宋_GB2312" w:cs="仿宋_GB2312"/>
          <w:spacing w:val="-6"/>
          <w:sz w:val="32"/>
          <w:szCs w:val="32"/>
        </w:rPr>
        <w:t>同数据库包含的同种期刊分别计算。</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4"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学位论文是指统计纳入馆藏目录可供使用的电子版学</w:t>
      </w:r>
      <w:r>
        <w:rPr>
          <w:rFonts w:hint="eastAsia" w:ascii="仿宋_GB2312" w:hAnsi="仿宋_GB2312" w:eastAsia="仿宋_GB2312" w:cs="仿宋_GB2312"/>
          <w:spacing w:val="-3"/>
          <w:sz w:val="32"/>
          <w:szCs w:val="32"/>
        </w:rPr>
        <w:t>位论文的数量，包括包括本校原生的和付费购买的学位论文</w:t>
      </w:r>
      <w:r>
        <w:rPr>
          <w:rFonts w:hint="eastAsia" w:ascii="仿宋_GB2312" w:hAnsi="仿宋_GB2312" w:eastAsia="仿宋_GB2312" w:cs="仿宋_GB2312"/>
          <w:spacing w:val="9"/>
          <w:sz w:val="32"/>
          <w:szCs w:val="32"/>
        </w:rPr>
        <w:t>等以全文学位论文数据库形式和按单种挑选订购全文电子版学位论文。1种算1册，不同数据库包含的同种学位论文</w:t>
      </w:r>
      <w:r>
        <w:rPr>
          <w:rFonts w:hint="eastAsia" w:ascii="仿宋_GB2312" w:hAnsi="仿宋_GB2312" w:eastAsia="仿宋_GB2312" w:cs="仿宋_GB2312"/>
          <w:spacing w:val="-11"/>
          <w:sz w:val="32"/>
          <w:szCs w:val="32"/>
        </w:rPr>
        <w:t>分别计算。</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pacing w:val="8"/>
          <w:sz w:val="32"/>
          <w:szCs w:val="32"/>
        </w:rPr>
      </w:pPr>
      <w:r>
        <w:rPr>
          <w:rFonts w:hint="eastAsia" w:ascii="仿宋_GB2312" w:hAnsi="仿宋_GB2312" w:eastAsia="仿宋_GB2312" w:cs="仿宋_GB2312"/>
          <w:spacing w:val="-3"/>
          <w:sz w:val="32"/>
          <w:szCs w:val="32"/>
        </w:rPr>
        <w:t>音视频包括自建的和付费购买的音视频资料，音视频资</w:t>
      </w:r>
      <w:r>
        <w:rPr>
          <w:rFonts w:hint="eastAsia" w:ascii="仿宋_GB2312" w:hAnsi="仿宋_GB2312" w:eastAsia="仿宋_GB2312" w:cs="仿宋_GB2312"/>
          <w:spacing w:val="9"/>
          <w:sz w:val="32"/>
          <w:szCs w:val="32"/>
        </w:rPr>
        <w:t>源按累计时长计算，时长1小时参照1册图</w:t>
      </w:r>
      <w:r>
        <w:rPr>
          <w:rFonts w:hint="eastAsia" w:ascii="仿宋_GB2312" w:hAnsi="仿宋_GB2312" w:eastAsia="仿宋_GB2312" w:cs="仿宋_GB2312"/>
          <w:spacing w:val="8"/>
          <w:sz w:val="32"/>
          <w:szCs w:val="32"/>
        </w:rPr>
        <w:t>书计算。</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0" w:firstLineChars="200"/>
        <w:jc w:val="both"/>
        <w:textAlignment w:val="baseline"/>
        <w:rPr>
          <w:rFonts w:hint="eastAsia" w:ascii="仿宋_GB2312" w:hAnsi="仿宋_GB2312" w:eastAsia="仿宋_GB2312" w:cs="仿宋_GB2312"/>
          <w:spacing w:val="10"/>
          <w:sz w:val="32"/>
          <w:szCs w:val="32"/>
          <w:lang w:val="en-US" w:eastAsia="zh-CN"/>
        </w:rPr>
      </w:pPr>
      <w:r>
        <w:drawing>
          <wp:anchor distT="0" distB="0" distL="0" distR="0" simplePos="0" relativeHeight="251662336" behindDoc="0" locked="0" layoutInCell="1" allowOverlap="1">
            <wp:simplePos x="0" y="0"/>
            <wp:positionH relativeFrom="column">
              <wp:posOffset>847725</wp:posOffset>
            </wp:positionH>
            <wp:positionV relativeFrom="paragraph">
              <wp:posOffset>111125</wp:posOffset>
            </wp:positionV>
            <wp:extent cx="4432300" cy="895985"/>
            <wp:effectExtent l="0" t="0" r="6350" b="18415"/>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0"/>
                    <a:stretch>
                      <a:fillRect/>
                    </a:stretch>
                  </pic:blipFill>
                  <pic:spPr>
                    <a:xfrm>
                      <a:off x="0" y="0"/>
                      <a:ext cx="4432300" cy="895985"/>
                    </a:xfrm>
                    <a:prstGeom prst="rect">
                      <a:avLst/>
                    </a:prstGeom>
                  </pic:spPr>
                </pic:pic>
              </a:graphicData>
            </a:graphic>
          </wp:anchor>
        </w:drawing>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pacing w:val="10"/>
          <w:sz w:val="32"/>
          <w:szCs w:val="32"/>
          <w:lang w:val="en-US" w:eastAsia="zh-CN"/>
        </w:rPr>
      </w:pPr>
      <w:r>
        <w:rPr>
          <w:rFonts w:hint="eastAsia" w:ascii="仿宋_GB2312" w:hAnsi="仿宋_GB2312" w:eastAsia="仿宋_GB2312" w:cs="仿宋_GB2312"/>
          <w:spacing w:val="10"/>
          <w:sz w:val="32"/>
          <w:szCs w:val="32"/>
          <w:lang w:val="en-US" w:eastAsia="zh-CN"/>
        </w:rPr>
        <w:t>图书</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jc w:val="both"/>
        <w:textAlignment w:val="baseline"/>
        <w:rPr>
          <w:rFonts w:hint="eastAsia" w:ascii="仿宋_GB2312" w:hAnsi="仿宋_GB2312" w:eastAsia="仿宋_GB2312" w:cs="仿宋_GB2312"/>
          <w:spacing w:val="10"/>
          <w:sz w:val="32"/>
          <w:szCs w:val="32"/>
        </w:rPr>
      </w:pP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rPr>
        <w:t>T</w:t>
      </w:r>
      <w:r>
        <w:rPr>
          <w:rFonts w:hint="eastAsia" w:ascii="仿宋_GB2312" w:hAnsi="仿宋_GB2312" w:eastAsia="仿宋_GB2312" w:cs="仿宋_GB2312"/>
          <w:spacing w:val="10"/>
          <w:sz w:val="32"/>
          <w:szCs w:val="32"/>
          <w:vertAlign w:val="subscript"/>
        </w:rPr>
        <w:t>纸</w:t>
      </w:r>
      <w:r>
        <w:rPr>
          <w:rFonts w:hint="eastAsia" w:ascii="仿宋_GB2312" w:hAnsi="仿宋_GB2312" w:eastAsia="仿宋_GB2312" w:cs="仿宋_GB2312"/>
          <w:spacing w:val="10"/>
          <w:sz w:val="32"/>
          <w:szCs w:val="32"/>
        </w:rPr>
        <w:t>=纸质图书总册数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80" w:firstLineChars="200"/>
        <w:jc w:val="both"/>
        <w:textAlignment w:val="baseline"/>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rPr>
        <w:t>T</w:t>
      </w:r>
      <w:r>
        <w:rPr>
          <w:rFonts w:hint="eastAsia" w:ascii="仿宋_GB2312" w:hAnsi="仿宋_GB2312" w:eastAsia="仿宋_GB2312" w:cs="仿宋_GB2312"/>
          <w:spacing w:val="10"/>
          <w:sz w:val="32"/>
          <w:szCs w:val="32"/>
          <w:vertAlign w:val="subscript"/>
        </w:rPr>
        <w:t>电</w:t>
      </w:r>
      <w:r>
        <w:rPr>
          <w:rFonts w:hint="eastAsia" w:ascii="仿宋_GB2312" w:hAnsi="仿宋_GB2312" w:eastAsia="仿宋_GB2312" w:cs="仿宋_GB2312"/>
          <w:spacing w:val="10"/>
          <w:sz w:val="32"/>
          <w:szCs w:val="32"/>
        </w:rPr>
        <w:t>=数字资源量=电子图书</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册</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+电子期刊</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册</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+学位论文</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册</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+音视频</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小时</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音视频1小时算1册电子图书</w:t>
      </w:r>
      <w:r>
        <w:rPr>
          <w:rFonts w:hint="eastAsia" w:ascii="仿宋_GB2312" w:hAnsi="仿宋_GB2312" w:eastAsia="仿宋_GB2312" w:cs="仿宋_GB2312"/>
          <w:spacing w:val="10"/>
          <w:sz w:val="32"/>
          <w:szCs w:val="32"/>
          <w:lang w:eastAsia="zh-CN"/>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lang w:val="en-US" w:eastAsia="zh-CN"/>
        </w:rPr>
        <w:t>（2）</w:t>
      </w:r>
      <w:r>
        <w:rPr>
          <w:rFonts w:hint="eastAsia" w:ascii="仿宋_GB2312" w:hAnsi="仿宋_GB2312" w:eastAsia="仿宋_GB2312" w:cs="仿宋_GB2312"/>
          <w:spacing w:val="10"/>
          <w:sz w:val="32"/>
          <w:szCs w:val="32"/>
        </w:rPr>
        <w:t>折合学生数=普通专科</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高职</w:t>
      </w:r>
      <w:r>
        <w:rPr>
          <w:rFonts w:hint="eastAsia" w:ascii="仿宋_GB2312" w:hAnsi="仿宋_GB2312" w:eastAsia="仿宋_GB2312" w:cs="仿宋_GB2312"/>
          <w:spacing w:val="10"/>
          <w:sz w:val="32"/>
          <w:szCs w:val="32"/>
          <w:lang w:eastAsia="zh-CN"/>
        </w:rPr>
        <w:t>）</w:t>
      </w:r>
      <w:r>
        <w:rPr>
          <w:rFonts w:hint="eastAsia" w:ascii="仿宋_GB2312" w:hAnsi="仿宋_GB2312" w:eastAsia="仿宋_GB2312" w:cs="仿宋_GB2312"/>
          <w:spacing w:val="10"/>
          <w:sz w:val="32"/>
          <w:szCs w:val="32"/>
        </w:rPr>
        <w:t>在校生数+留学生专科在校生数+预科生数+成人脱产在校生+成人业余在校生数*0.3+成人函授在校生数*0.1+附设中职班在校生*0.75</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lang w:val="en-US" w:eastAsia="zh-CN"/>
        </w:rPr>
        <w:t>（3）</w:t>
      </w:r>
      <w:r>
        <w:rPr>
          <w:rFonts w:hint="eastAsia" w:ascii="仿宋_GB2312" w:hAnsi="仿宋_GB2312" w:eastAsia="仿宋_GB2312" w:cs="仿宋_GB2312"/>
          <w:spacing w:val="10"/>
          <w:sz w:val="32"/>
          <w:szCs w:val="32"/>
        </w:rPr>
        <w:t>生均图书=图书资源总量/折合学生数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lang w:val="en-US" w:eastAsia="zh-CN"/>
        </w:rPr>
        <w:t>（4）</w:t>
      </w:r>
      <w:r>
        <w:rPr>
          <w:rFonts w:hint="eastAsia" w:ascii="仿宋_GB2312" w:hAnsi="仿宋_GB2312" w:eastAsia="仿宋_GB2312" w:cs="仿宋_GB2312"/>
          <w:spacing w:val="10"/>
          <w:sz w:val="32"/>
          <w:szCs w:val="32"/>
        </w:rPr>
        <w:t>生均年进书量=当年新增图书量/折合学生数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2" w:firstLineChars="200"/>
        <w:jc w:val="both"/>
        <w:textAlignment w:val="baseline"/>
        <w:rPr>
          <w:rFonts w:hint="eastAsia" w:ascii="仿宋_GB2312" w:hAnsi="仿宋_GB2312" w:eastAsia="仿宋_GB2312" w:cs="仿宋_GB2312"/>
          <w:b/>
          <w:bCs/>
          <w:spacing w:val="10"/>
          <w:sz w:val="32"/>
          <w:szCs w:val="32"/>
          <w:lang w:eastAsia="zh-CN"/>
        </w:rPr>
      </w:pPr>
      <w:r>
        <w:rPr>
          <w:rFonts w:hint="eastAsia" w:ascii="仿宋_GB2312" w:hAnsi="仿宋_GB2312" w:eastAsia="仿宋_GB2312" w:cs="仿宋_GB2312"/>
          <w:b/>
          <w:bCs/>
          <w:spacing w:val="10"/>
          <w:sz w:val="32"/>
          <w:szCs w:val="32"/>
        </w:rPr>
        <w:t>标准值</w:t>
      </w:r>
      <w:r>
        <w:rPr>
          <w:rFonts w:hint="eastAsia" w:ascii="仿宋_GB2312" w:hAnsi="仿宋_GB2312" w:eastAsia="仿宋_GB2312" w:cs="仿宋_GB2312"/>
          <w:b/>
          <w:bCs/>
          <w:spacing w:val="10"/>
          <w:sz w:val="32"/>
          <w:szCs w:val="32"/>
          <w:lang w:eastAsia="zh-CN"/>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pacing w:val="10"/>
          <w:sz w:val="32"/>
          <w:szCs w:val="32"/>
        </w:rPr>
      </w:pPr>
      <w:r>
        <w:rPr>
          <w:rFonts w:hint="eastAsia" w:ascii="仿宋_GB2312" w:hAnsi="仿宋_GB2312" w:eastAsia="仿宋_GB2312" w:cs="仿宋_GB2312"/>
          <w:spacing w:val="10"/>
          <w:sz w:val="32"/>
          <w:szCs w:val="32"/>
          <w:lang w:val="en-US" w:eastAsia="zh-CN"/>
        </w:rPr>
        <w:t>（1）</w:t>
      </w:r>
      <w:r>
        <w:rPr>
          <w:rFonts w:hint="eastAsia" w:ascii="仿宋_GB2312" w:hAnsi="仿宋_GB2312" w:eastAsia="仿宋_GB2312" w:cs="仿宋_GB2312"/>
          <w:spacing w:val="10"/>
          <w:sz w:val="32"/>
          <w:szCs w:val="32"/>
        </w:rPr>
        <w:t>综合、师范、民族院校生均图书≥80册/生，工、农、林院校生均图书≥60册/生，医学院校生均图书≥60册/生，语文、财经、政法院校生均图书≥80册/生，体育院校生均图书≥50册/生，艺术院校生均图书≥60册/生。</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val="en-US" w:eastAsia="zh-CN"/>
        </w:rPr>
        <w:t>（2）</w:t>
      </w:r>
      <w:r>
        <w:rPr>
          <w:rFonts w:hint="eastAsia" w:ascii="仿宋_GB2312" w:hAnsi="仿宋_GB2312" w:eastAsia="仿宋_GB2312" w:cs="仿宋_GB2312"/>
          <w:spacing w:val="10"/>
          <w:sz w:val="32"/>
          <w:szCs w:val="32"/>
        </w:rPr>
        <w:t>综合、师范、民族院校生均年进书量≥3册/生，工、农、林、医学院校生均年进书量≥2册/生，语文、财经、政法院校生均年进书量≥3册/生，体育院校生均年进书量≥2册/生，艺术院校生均年进书量≥3册/生。凡折合在校生超过30000人的高校，当年进书量超过9万册，该项指标即为</w:t>
      </w:r>
      <w:r>
        <w:rPr>
          <w:rFonts w:hint="eastAsia" w:ascii="仿宋_GB2312" w:hAnsi="仿宋_GB2312" w:eastAsia="仿宋_GB2312" w:cs="仿宋_GB2312"/>
          <w:spacing w:val="10"/>
          <w:sz w:val="32"/>
          <w:szCs w:val="32"/>
          <w:lang w:eastAsia="zh-CN"/>
        </w:rPr>
        <w:t>满足要求。</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5.信息化建设</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jc w:val="both"/>
        <w:textAlignment w:val="baseline"/>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spacing w:val="10"/>
          <w:sz w:val="32"/>
          <w:szCs w:val="32"/>
          <w:lang w:eastAsia="zh-CN"/>
        </w:rPr>
        <w:t>接入互联网出口带宽来源于《职业院校数字校园建设规范》,百名学生配教学用计算机台数来源于《普通高等学校基本办学条件指标》。</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en-US" w:bidi="ar-SA"/>
        </w:rPr>
      </w:pPr>
      <w:r>
        <w:rPr>
          <w:rFonts w:hint="eastAsia" w:ascii="仿宋_GB2312" w:hAnsi="仿宋_GB2312" w:eastAsia="仿宋_GB2312" w:cs="仿宋_GB2312"/>
          <w:b/>
          <w:bCs/>
          <w:snapToGrid w:val="0"/>
          <w:color w:val="000000"/>
          <w:spacing w:val="2"/>
          <w:kern w:val="0"/>
          <w:sz w:val="32"/>
          <w:szCs w:val="32"/>
          <w:lang w:val="en-US" w:eastAsia="en-US"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val="en-US" w:eastAsia="zh-CN"/>
        </w:rPr>
        <w:t>（1）</w:t>
      </w:r>
      <w:r>
        <w:rPr>
          <w:rFonts w:hint="eastAsia" w:ascii="仿宋_GB2312" w:hAnsi="仿宋_GB2312" w:eastAsia="仿宋_GB2312" w:cs="仿宋_GB2312"/>
          <w:spacing w:val="10"/>
          <w:sz w:val="32"/>
          <w:szCs w:val="32"/>
          <w:lang w:eastAsia="zh-CN"/>
        </w:rPr>
        <w:t>接入互联网出口带宽指校园网对外出口带宽之和，网络出口包括中国电信出口、中国网通出口、教育科研网出口等。对于建立校园网的，填写校园网对外出口带宽之和（通过城域网形成逻辑校园网的，按学校接入城域网带宽填写）;对于没有建立校园网但已接入互联网的学校，按学校连接互联网的带宽之和填写。校园网络应采用成熟的千兆及以上以太网络技术和设备，核心和关键网络应安全稳定可靠。</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val="en-US" w:eastAsia="zh-CN"/>
        </w:rPr>
        <w:t>（2）</w:t>
      </w:r>
      <w:r>
        <w:rPr>
          <w:rFonts w:hint="eastAsia" w:ascii="仿宋_GB2312" w:hAnsi="仿宋_GB2312" w:eastAsia="仿宋_GB2312" w:cs="仿宋_GB2312"/>
          <w:spacing w:val="10"/>
          <w:sz w:val="32"/>
          <w:szCs w:val="32"/>
          <w:lang w:eastAsia="zh-CN"/>
        </w:rPr>
        <w:t>全日制学生数=普通专科（高职）在校生数+留学生专科在校生数+预科生数+进修生数+成人脱产班学生数+附设中职班在校生数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val="en-US" w:eastAsia="zh-CN"/>
        </w:rPr>
        <w:t>（3）</w:t>
      </w:r>
      <w:r>
        <w:rPr>
          <w:rFonts w:hint="eastAsia" w:ascii="仿宋_GB2312" w:hAnsi="仿宋_GB2312" w:eastAsia="仿宋_GB2312" w:cs="仿宋_GB2312"/>
          <w:spacing w:val="10"/>
          <w:sz w:val="32"/>
          <w:szCs w:val="32"/>
          <w:lang w:eastAsia="zh-CN"/>
        </w:rPr>
        <w:t>百名学生配教学用计算机台数=（教学用计算机台数/全日制学生数）*100</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spacing w:val="10"/>
          <w:sz w:val="32"/>
          <w:szCs w:val="32"/>
          <w:lang w:val="en-US" w:eastAsia="zh-CN"/>
        </w:rPr>
        <w:t>（4）</w:t>
      </w:r>
      <w:r>
        <w:rPr>
          <w:rFonts w:hint="eastAsia" w:ascii="仿宋_GB2312" w:hAnsi="仿宋_GB2312" w:eastAsia="仿宋_GB2312" w:cs="仿宋_GB2312"/>
          <w:spacing w:val="10"/>
          <w:sz w:val="32"/>
          <w:szCs w:val="32"/>
          <w:lang w:eastAsia="zh-CN"/>
        </w:rPr>
        <w:t>无线网络覆盖（单一选项）分为“全部”“部分”“无”。</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6.仪器设备</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jc w:val="both"/>
        <w:textAlignment w:val="baseline"/>
        <w:rPr>
          <w:rFonts w:hint="eastAsia" w:ascii="仿宋_GB2312" w:hAnsi="仿宋_GB2312" w:eastAsia="仿宋_GB2312" w:cs="仿宋_GB2312"/>
          <w:spacing w:val="10"/>
          <w:sz w:val="32"/>
          <w:szCs w:val="32"/>
          <w:lang w:eastAsia="zh-CN"/>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spacing w:val="10"/>
          <w:sz w:val="32"/>
          <w:szCs w:val="32"/>
          <w:lang w:eastAsia="zh-CN"/>
        </w:rPr>
        <w:t>生均教学科研仪器设备值来源于《职业学校办学条件重点监测指标》,新增教学科研仪器设备所占比例《普通高等学校基本办学条件指标》</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textAlignment w:val="baseline"/>
        <w:rPr>
          <w:rFonts w:hint="eastAsia" w:ascii="仿宋_GB2312" w:hAnsi="仿宋_GB2312" w:eastAsia="仿宋_GB2312" w:cs="仿宋_GB2312"/>
          <w:b/>
          <w:bCs/>
          <w:spacing w:val="-8"/>
          <w:sz w:val="32"/>
          <w:szCs w:val="32"/>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r>
        <w:rPr>
          <w:rFonts w:hint="eastAsia" w:ascii="仿宋_GB2312" w:hAnsi="仿宋_GB2312" w:eastAsia="仿宋_GB2312" w:cs="仿宋_GB2312"/>
          <w:b/>
          <w:bCs/>
          <w:spacing w:val="-8"/>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napToGrid w:val="0"/>
          <w:color w:val="000000"/>
          <w:spacing w:val="10"/>
          <w:kern w:val="0"/>
          <w:sz w:val="32"/>
          <w:szCs w:val="32"/>
          <w:lang w:val="en-US" w:eastAsia="en-US" w:bidi="ar-SA"/>
        </w:rPr>
      </w:pPr>
      <w:r>
        <w:rPr>
          <w:rFonts w:hint="eastAsia" w:ascii="仿宋_GB2312" w:hAnsi="仿宋_GB2312" w:eastAsia="仿宋_GB2312" w:cs="仿宋_GB2312"/>
          <w:snapToGrid w:val="0"/>
          <w:color w:val="000000"/>
          <w:spacing w:val="10"/>
          <w:kern w:val="0"/>
          <w:sz w:val="32"/>
          <w:szCs w:val="32"/>
          <w:lang w:val="en-US" w:eastAsia="zh-CN" w:bidi="ar-SA"/>
        </w:rPr>
        <w:t>（1）</w:t>
      </w:r>
      <w:r>
        <w:rPr>
          <w:rFonts w:hint="eastAsia" w:ascii="仿宋_GB2312" w:hAnsi="仿宋_GB2312" w:eastAsia="仿宋_GB2312" w:cs="仿宋_GB2312"/>
          <w:snapToGrid w:val="0"/>
          <w:color w:val="000000"/>
          <w:spacing w:val="10"/>
          <w:kern w:val="0"/>
          <w:sz w:val="32"/>
          <w:szCs w:val="32"/>
          <w:lang w:val="en-US" w:eastAsia="en-US" w:bidi="ar-SA"/>
        </w:rPr>
        <w:t>教学科研仪器设备指使用学校预算经费、科研</w:t>
      </w:r>
      <w:r>
        <w:rPr>
          <w:rFonts w:hint="eastAsia" w:ascii="仿宋_GB2312" w:hAnsi="仿宋_GB2312" w:eastAsia="仿宋_GB2312" w:cs="仿宋_GB2312"/>
          <w:snapToGrid w:val="0"/>
          <w:color w:val="000000"/>
          <w:spacing w:val="10"/>
          <w:kern w:val="0"/>
          <w:sz w:val="32"/>
          <w:szCs w:val="32"/>
          <w:lang w:val="en-US" w:eastAsia="zh-CN" w:bidi="ar-SA"/>
        </w:rPr>
        <w:t>经费、</w:t>
      </w:r>
      <w:r>
        <w:rPr>
          <w:rFonts w:hint="eastAsia" w:ascii="仿宋_GB2312" w:hAnsi="仿宋_GB2312" w:eastAsia="仿宋_GB2312" w:cs="仿宋_GB2312"/>
          <w:snapToGrid w:val="0"/>
          <w:color w:val="000000"/>
          <w:spacing w:val="10"/>
          <w:kern w:val="0"/>
          <w:sz w:val="32"/>
          <w:szCs w:val="32"/>
          <w:lang w:val="en-US" w:eastAsia="en-US" w:bidi="ar-SA"/>
        </w:rPr>
        <w:t>基建经费、校内部门自筹经费购买或接受捐赠的耐用时间在一年以上，单价1000元以上的教学、科研仪器设备，均应纳入仪器设备管理范围。主要包括学校固定资产中用于教学、科研、实验、实习等仪器设备的资产值。</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napToGrid w:val="0"/>
          <w:color w:val="000000"/>
          <w:spacing w:val="10"/>
          <w:kern w:val="0"/>
          <w:sz w:val="32"/>
          <w:szCs w:val="32"/>
          <w:lang w:val="en-US" w:eastAsia="zh-CN" w:bidi="ar-SA"/>
        </w:rPr>
      </w:pPr>
      <w:r>
        <w:rPr>
          <w:rFonts w:hint="eastAsia" w:ascii="仿宋_GB2312" w:hAnsi="仿宋_GB2312" w:eastAsia="仿宋_GB2312" w:cs="仿宋_GB2312"/>
          <w:snapToGrid w:val="0"/>
          <w:color w:val="000000"/>
          <w:spacing w:val="10"/>
          <w:kern w:val="0"/>
          <w:sz w:val="32"/>
          <w:szCs w:val="32"/>
          <w:lang w:val="en-US" w:eastAsia="zh-CN" w:bidi="ar-SA"/>
        </w:rPr>
        <w:t>（2）全日制学生数=普通专科（高职）在校生数+留学生专科在校生数+预科生数+进修生数+成人脱产班学生数+附设中职班在校生数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napToGrid w:val="0"/>
          <w:color w:val="000000"/>
          <w:spacing w:val="10"/>
          <w:kern w:val="0"/>
          <w:sz w:val="32"/>
          <w:szCs w:val="32"/>
          <w:lang w:val="en-US" w:eastAsia="zh-CN" w:bidi="ar-SA"/>
        </w:rPr>
      </w:pPr>
      <w:r>
        <w:rPr>
          <w:rFonts w:hint="eastAsia" w:ascii="仿宋_GB2312" w:hAnsi="仿宋_GB2312" w:eastAsia="仿宋_GB2312" w:cs="仿宋_GB2312"/>
          <w:snapToGrid w:val="0"/>
          <w:color w:val="000000"/>
          <w:spacing w:val="10"/>
          <w:kern w:val="0"/>
          <w:sz w:val="32"/>
          <w:szCs w:val="32"/>
          <w:lang w:val="en-US" w:eastAsia="zh-CN" w:bidi="ar-SA"/>
        </w:rPr>
        <w:t>（3）生均教学科研仪器设备值=教学科研仪器设备资产总值/全日制学生数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napToGrid w:val="0"/>
          <w:color w:val="000000"/>
          <w:spacing w:val="10"/>
          <w:kern w:val="0"/>
          <w:sz w:val="32"/>
          <w:szCs w:val="32"/>
          <w:lang w:val="en-US" w:eastAsia="zh-CN" w:bidi="ar-SA"/>
        </w:rPr>
      </w:pPr>
      <w:r>
        <w:rPr>
          <w:rFonts w:hint="eastAsia" w:ascii="仿宋_GB2312" w:hAnsi="仿宋_GB2312" w:eastAsia="仿宋_GB2312" w:cs="仿宋_GB2312"/>
          <w:snapToGrid w:val="0"/>
          <w:color w:val="000000"/>
          <w:spacing w:val="10"/>
          <w:kern w:val="0"/>
          <w:sz w:val="32"/>
          <w:szCs w:val="32"/>
          <w:lang w:val="en-US" w:eastAsia="zh-CN" w:bidi="ar-SA"/>
        </w:rPr>
        <w:t>（4）当年新增教学科研仪器设备所占比例=当年新增教学科研仪器设备值/（教学科研仪器设备资产总值-当年新增教学科研仪器设备值）*100%</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82" w:firstLineChars="200"/>
        <w:jc w:val="both"/>
        <w:textAlignment w:val="baseline"/>
        <w:outlineLvl w:val="0"/>
        <w:rPr>
          <w:rFonts w:hint="eastAsia" w:ascii="仿宋_GB2312" w:hAnsi="仿宋_GB2312" w:eastAsia="仿宋_GB2312" w:cs="仿宋_GB2312"/>
          <w:b/>
          <w:bCs/>
          <w:snapToGrid w:val="0"/>
          <w:color w:val="000000"/>
          <w:spacing w:val="10"/>
          <w:kern w:val="0"/>
          <w:sz w:val="32"/>
          <w:szCs w:val="32"/>
          <w:lang w:val="en-US" w:eastAsia="en-US" w:bidi="ar-SA"/>
        </w:rPr>
      </w:pPr>
      <w:r>
        <w:rPr>
          <w:rFonts w:hint="eastAsia" w:ascii="仿宋_GB2312" w:hAnsi="仿宋_GB2312" w:eastAsia="仿宋_GB2312" w:cs="仿宋_GB2312"/>
          <w:b/>
          <w:bCs/>
          <w:snapToGrid w:val="0"/>
          <w:color w:val="000000"/>
          <w:spacing w:val="10"/>
          <w:kern w:val="0"/>
          <w:sz w:val="32"/>
          <w:szCs w:val="32"/>
          <w:lang w:val="en-US" w:eastAsia="en-US" w:bidi="ar-SA"/>
        </w:rPr>
        <w:t>标准值：</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napToGrid w:val="0"/>
          <w:color w:val="000000"/>
          <w:spacing w:val="10"/>
          <w:kern w:val="0"/>
          <w:sz w:val="32"/>
          <w:szCs w:val="32"/>
          <w:lang w:val="en-US" w:eastAsia="zh-CN" w:bidi="ar-SA"/>
        </w:rPr>
      </w:pPr>
      <w:r>
        <w:rPr>
          <w:rFonts w:hint="eastAsia" w:ascii="仿宋_GB2312" w:hAnsi="仿宋_GB2312" w:eastAsia="仿宋_GB2312" w:cs="仿宋_GB2312"/>
          <w:snapToGrid w:val="0"/>
          <w:color w:val="000000"/>
          <w:spacing w:val="10"/>
          <w:kern w:val="0"/>
          <w:sz w:val="32"/>
          <w:szCs w:val="32"/>
          <w:lang w:val="en-US" w:eastAsia="zh-CN" w:bidi="ar-SA"/>
        </w:rPr>
        <w:t>（1）综合、师范、民族院校生均教学科研仪器设备值≥4000元/生，工、农、林院校生均教学科研仪器设备值≥4000元/生，医学院校生均教学科研仪器设备值≥4000元/生，语文、财经、政法院校生均教学科研仪器设备值≥3000元/生，体育院校生均教学科研仪器设备值≥3000元/生，艺术院校生均教学科研仪器设备值≥3000元/生。</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napToGrid w:val="0"/>
          <w:color w:val="000000"/>
          <w:spacing w:val="10"/>
          <w:kern w:val="0"/>
          <w:sz w:val="32"/>
          <w:szCs w:val="32"/>
          <w:lang w:val="en-US" w:eastAsia="zh-CN" w:bidi="ar-SA"/>
        </w:rPr>
      </w:pPr>
      <w:r>
        <w:rPr>
          <w:rFonts w:hint="eastAsia" w:ascii="仿宋_GB2312" w:hAnsi="仿宋_GB2312" w:eastAsia="仿宋_GB2312" w:cs="仿宋_GB2312"/>
          <w:snapToGrid w:val="0"/>
          <w:color w:val="000000"/>
          <w:spacing w:val="10"/>
          <w:kern w:val="0"/>
          <w:sz w:val="32"/>
          <w:szCs w:val="32"/>
          <w:lang w:val="en-US" w:eastAsia="zh-CN" w:bidi="ar-SA"/>
        </w:rPr>
        <w:t>（2）教学仪器设备总值低于1亿元的高校，当年新增教学仪器设备值≥10%;教学仪器设备总值超过1亿元的高校，当年新增教学仪器设备值超过1000万元，该项指标即为合格。</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7.实训条件</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textAlignment w:val="baseline"/>
        <w:outlineLvl w:val="0"/>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napToGrid w:val="0"/>
          <w:color w:val="000000"/>
          <w:spacing w:val="10"/>
          <w:kern w:val="0"/>
          <w:sz w:val="32"/>
          <w:szCs w:val="32"/>
          <w:lang w:val="en-US" w:eastAsia="zh-CN" w:bidi="ar-SA"/>
        </w:rPr>
      </w:pPr>
      <w:r>
        <w:rPr>
          <w:rFonts w:hint="eastAsia" w:ascii="仿宋_GB2312" w:hAnsi="仿宋_GB2312" w:eastAsia="仿宋_GB2312" w:cs="仿宋_GB2312"/>
          <w:snapToGrid w:val="0"/>
          <w:color w:val="000000"/>
          <w:spacing w:val="10"/>
          <w:kern w:val="0"/>
          <w:sz w:val="32"/>
          <w:szCs w:val="32"/>
          <w:lang w:val="en-US" w:eastAsia="zh-CN" w:bidi="ar-SA"/>
        </w:rPr>
        <w:t>（1）校内实训基地数量指学校建在校内的实践实训基地数（包含校内实验实训室、省级以上实训基地、虚拟仿真实训基地等）。其中，省级以上实训基地数指省级以上主管部门立项建设的实训基地数。校外实训基地数量指校企合作建立在企业内部的实训基地数，建立校外实训基地企业数指校外实训基地依托企业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napToGrid w:val="0"/>
          <w:color w:val="000000"/>
          <w:spacing w:val="10"/>
          <w:kern w:val="0"/>
          <w:sz w:val="32"/>
          <w:szCs w:val="32"/>
          <w:lang w:val="en-US" w:eastAsia="zh-CN" w:bidi="ar-SA"/>
        </w:rPr>
      </w:pPr>
      <w:r>
        <w:rPr>
          <w:rFonts w:hint="eastAsia" w:ascii="仿宋_GB2312" w:hAnsi="仿宋_GB2312" w:eastAsia="仿宋_GB2312" w:cs="仿宋_GB2312"/>
          <w:snapToGrid w:val="0"/>
          <w:color w:val="000000"/>
          <w:spacing w:val="10"/>
          <w:kern w:val="0"/>
          <w:sz w:val="32"/>
          <w:szCs w:val="32"/>
          <w:lang w:val="en-US" w:eastAsia="zh-CN" w:bidi="ar-SA"/>
        </w:rPr>
        <w:t>（2）全日制学生数=普通专科（高职）在校生数+留学生专科在校生数+预科生数+进修生数+成人脱产班学生数+附设中职班在校生数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napToGrid w:val="0"/>
          <w:color w:val="000000"/>
          <w:spacing w:val="10"/>
          <w:kern w:val="0"/>
          <w:sz w:val="32"/>
          <w:szCs w:val="32"/>
          <w:lang w:val="en-US" w:eastAsia="zh-CN" w:bidi="ar-SA"/>
        </w:rPr>
      </w:pPr>
      <w:r>
        <w:rPr>
          <w:rFonts w:hint="eastAsia" w:ascii="仿宋_GB2312" w:hAnsi="仿宋_GB2312" w:eastAsia="仿宋_GB2312" w:cs="仿宋_GB2312"/>
          <w:snapToGrid w:val="0"/>
          <w:color w:val="000000"/>
          <w:spacing w:val="10"/>
          <w:kern w:val="0"/>
          <w:sz w:val="32"/>
          <w:szCs w:val="32"/>
          <w:lang w:val="en-US" w:eastAsia="zh-CN" w:bidi="ar-SA"/>
        </w:rPr>
        <w:t>（3）生均校内实训基地工位数=校内实训基地工位数/全日制学生数</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jc w:val="center"/>
        <w:textAlignment w:val="baseline"/>
        <w:rPr>
          <w:rFonts w:hint="eastAsia" w:ascii="黑体" w:hAnsi="黑体" w:eastAsia="黑体" w:cs="黑体"/>
          <w:b w:val="0"/>
          <w:bCs w:val="0"/>
          <w:spacing w:val="-7"/>
          <w:sz w:val="32"/>
          <w:szCs w:val="32"/>
        </w:rPr>
      </w:pPr>
      <w:r>
        <w:rPr>
          <w:rFonts w:hint="eastAsia" w:ascii="黑体" w:hAnsi="黑体" w:eastAsia="黑体" w:cs="黑体"/>
          <w:b w:val="0"/>
          <w:bCs w:val="0"/>
          <w:spacing w:val="-7"/>
          <w:sz w:val="32"/>
          <w:szCs w:val="32"/>
        </w:rPr>
        <w:t>【指标三】师资队伍</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8.专任教师配备</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napToGrid w:val="0"/>
          <w:color w:val="000000"/>
          <w:spacing w:val="10"/>
          <w:kern w:val="0"/>
          <w:sz w:val="32"/>
          <w:szCs w:val="32"/>
          <w:lang w:val="en-US" w:eastAsia="zh-CN" w:bidi="ar-SA"/>
        </w:rPr>
      </w:pPr>
      <w:r>
        <w:rPr>
          <w:rFonts w:hint="eastAsia" w:ascii="仿宋_GB2312" w:hAnsi="仿宋_GB2312" w:eastAsia="仿宋_GB2312" w:cs="仿宋_GB2312"/>
          <w:snapToGrid w:val="0"/>
          <w:color w:val="000000"/>
          <w:spacing w:val="10"/>
          <w:kern w:val="0"/>
          <w:sz w:val="32"/>
          <w:szCs w:val="32"/>
          <w:lang w:val="en-US" w:eastAsia="zh-CN" w:bidi="ar-SA"/>
        </w:rPr>
        <w:t>专任教师是指具有《中华人民共和国教师法》《教师资格条例》规定的高等教育学校教师资格，学校根据《关于高等学校岗位设置管理的指导意见》,聘用的专职从事教学工作的教学为主型岗位和教学科研型岗位人员。</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9.兼职教师配备</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0" w:leftChars="0" w:right="0" w:rightChars="0" w:firstLine="650" w:firstLineChars="200"/>
        <w:jc w:val="both"/>
        <w:textAlignment w:val="baseline"/>
        <w:outlineLvl w:val="0"/>
        <w:rPr>
          <w:rFonts w:hint="eastAsia" w:ascii="仿宋_GB2312" w:hAnsi="仿宋_GB2312" w:eastAsia="仿宋_GB2312" w:cs="仿宋_GB2312"/>
          <w:snapToGrid w:val="0"/>
          <w:color w:val="000000"/>
          <w:spacing w:val="-3"/>
          <w:kern w:val="0"/>
          <w:sz w:val="32"/>
          <w:szCs w:val="32"/>
          <w:lang w:val="en-US" w:eastAsia="en-US" w:bidi="ar-SA"/>
        </w:rPr>
      </w:pPr>
      <w:r>
        <w:rPr>
          <w:rFonts w:hint="eastAsia" w:ascii="仿宋_GB2312" w:hAnsi="仿宋_GB2312" w:eastAsia="仿宋_GB2312" w:cs="仿宋_GB2312"/>
          <w:b/>
          <w:bCs/>
          <w:snapToGrid w:val="0"/>
          <w:color w:val="000000"/>
          <w:spacing w:val="2"/>
          <w:kern w:val="0"/>
          <w:sz w:val="32"/>
          <w:szCs w:val="32"/>
          <w:lang w:val="en-US" w:eastAsia="en-US" w:bidi="ar-SA"/>
        </w:rPr>
        <w:t>指标来源：</w:t>
      </w:r>
      <w:r>
        <w:rPr>
          <w:rFonts w:hint="eastAsia" w:ascii="仿宋_GB2312" w:hAnsi="仿宋_GB2312" w:eastAsia="仿宋_GB2312" w:cs="仿宋_GB2312"/>
          <w:snapToGrid w:val="0"/>
          <w:color w:val="000000"/>
          <w:spacing w:val="-3"/>
          <w:kern w:val="0"/>
          <w:sz w:val="32"/>
          <w:szCs w:val="32"/>
          <w:lang w:val="en-US" w:eastAsia="en-US" w:bidi="ar-SA"/>
        </w:rPr>
        <w:t>兼职教师占专兼职教师总数的比例来源于《职业学校兼职教师管理办法》</w:t>
      </w:r>
      <w:r>
        <w:rPr>
          <w:rFonts w:hint="eastAsia" w:ascii="仿宋_GB2312" w:hAnsi="仿宋_GB2312" w:eastAsia="仿宋_GB2312" w:cs="仿宋_GB2312"/>
          <w:snapToGrid w:val="0"/>
          <w:color w:val="000000"/>
          <w:spacing w:val="-3"/>
          <w:kern w:val="0"/>
          <w:sz w:val="32"/>
          <w:szCs w:val="32"/>
          <w:lang w:val="en-US" w:eastAsia="zh-CN" w:bidi="ar-SA"/>
        </w:rPr>
        <w:t>（</w:t>
      </w:r>
      <w:r>
        <w:rPr>
          <w:rFonts w:hint="eastAsia" w:ascii="仿宋_GB2312" w:hAnsi="仿宋_GB2312" w:eastAsia="仿宋_GB2312" w:cs="仿宋_GB2312"/>
          <w:snapToGrid w:val="0"/>
          <w:color w:val="000000"/>
          <w:spacing w:val="-3"/>
          <w:kern w:val="0"/>
          <w:sz w:val="32"/>
          <w:szCs w:val="32"/>
          <w:lang w:val="en-US" w:eastAsia="en-US" w:bidi="ar-SA"/>
        </w:rPr>
        <w:t>2023年</w:t>
      </w:r>
      <w:r>
        <w:rPr>
          <w:rFonts w:hint="eastAsia" w:ascii="仿宋_GB2312" w:hAnsi="仿宋_GB2312" w:eastAsia="仿宋_GB2312" w:cs="仿宋_GB2312"/>
          <w:snapToGrid w:val="0"/>
          <w:color w:val="000000"/>
          <w:spacing w:val="-3"/>
          <w:kern w:val="0"/>
          <w:sz w:val="32"/>
          <w:szCs w:val="32"/>
          <w:lang w:val="en-US" w:eastAsia="zh-CN" w:bidi="ar-SA"/>
        </w:rPr>
        <w:t>）</w:t>
      </w:r>
      <w:r>
        <w:rPr>
          <w:rFonts w:hint="eastAsia" w:ascii="仿宋_GB2312" w:hAnsi="仿宋_GB2312" w:eastAsia="仿宋_GB2312" w:cs="仿宋_GB2312"/>
          <w:snapToGrid w:val="0"/>
          <w:color w:val="000000"/>
          <w:spacing w:val="-3"/>
          <w:kern w:val="0"/>
          <w:sz w:val="32"/>
          <w:szCs w:val="32"/>
          <w:lang w:val="en-US" w:eastAsia="en-US" w:bidi="ar-SA"/>
        </w:rPr>
        <w:t>,行业导师占专任教师总数比例、行业导师承担专业课教学任务课时占学校专业课总课时比例来源于《本科层次职业学校本科教学工作合格评估指标和基本要求(试行)》</w:t>
      </w:r>
      <w:r>
        <w:rPr>
          <w:rFonts w:hint="eastAsia" w:ascii="仿宋_GB2312" w:hAnsi="仿宋_GB2312" w:eastAsia="仿宋_GB2312" w:cs="仿宋_GB2312"/>
          <w:snapToGrid w:val="0"/>
          <w:color w:val="000000"/>
          <w:spacing w:val="-3"/>
          <w:kern w:val="0"/>
          <w:sz w:val="32"/>
          <w:szCs w:val="32"/>
          <w:lang w:val="en-US" w:eastAsia="zh-CN" w:bidi="ar-SA"/>
        </w:rPr>
        <w:t>（</w:t>
      </w:r>
      <w:r>
        <w:rPr>
          <w:rFonts w:hint="eastAsia" w:ascii="仿宋_GB2312" w:hAnsi="仿宋_GB2312" w:eastAsia="仿宋_GB2312" w:cs="仿宋_GB2312"/>
          <w:snapToGrid w:val="0"/>
          <w:color w:val="000000"/>
          <w:spacing w:val="-3"/>
          <w:kern w:val="0"/>
          <w:sz w:val="32"/>
          <w:szCs w:val="32"/>
          <w:lang w:val="en-US" w:eastAsia="en-US" w:bidi="ar-SA"/>
        </w:rPr>
        <w:t>2021年</w:t>
      </w:r>
      <w:r>
        <w:rPr>
          <w:rFonts w:hint="eastAsia" w:ascii="仿宋_GB2312" w:hAnsi="仿宋_GB2312" w:eastAsia="仿宋_GB2312" w:cs="仿宋_GB2312"/>
          <w:snapToGrid w:val="0"/>
          <w:color w:val="000000"/>
          <w:spacing w:val="-3"/>
          <w:kern w:val="0"/>
          <w:sz w:val="32"/>
          <w:szCs w:val="32"/>
          <w:lang w:val="en-US" w:eastAsia="zh-CN" w:bidi="ar-SA"/>
        </w:rPr>
        <w:t>）</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0" w:leftChars="0" w:right="0" w:rightChars="0" w:firstLine="630" w:firstLineChars="200"/>
        <w:textAlignment w:val="baseline"/>
        <w:outlineLvl w:val="0"/>
        <w:rPr>
          <w:rFonts w:ascii="仿宋" w:hAnsi="仿宋" w:eastAsia="仿宋" w:cs="仿宋"/>
          <w:b/>
          <w:bCs/>
          <w:snapToGrid w:val="0"/>
          <w:color w:val="000000"/>
          <w:spacing w:val="-3"/>
          <w:kern w:val="0"/>
          <w:sz w:val="32"/>
          <w:szCs w:val="32"/>
          <w:lang w:val="en-US" w:eastAsia="en-US" w:bidi="ar-SA"/>
        </w:rPr>
      </w:pPr>
      <w:r>
        <w:rPr>
          <w:rFonts w:ascii="仿宋" w:hAnsi="仿宋" w:eastAsia="仿宋" w:cs="仿宋"/>
          <w:b/>
          <w:bCs/>
          <w:snapToGrid w:val="0"/>
          <w:color w:val="000000"/>
          <w:spacing w:val="-3"/>
          <w:kern w:val="0"/>
          <w:sz w:val="32"/>
          <w:szCs w:val="32"/>
          <w:lang w:val="en-US" w:eastAsia="en-US" w:bidi="ar-SA"/>
        </w:rPr>
        <w:t>统</w:t>
      </w:r>
      <w:r>
        <w:rPr>
          <w:rFonts w:hint="eastAsia" w:ascii="仿宋_GB2312" w:hAnsi="仿宋_GB2312" w:eastAsia="仿宋_GB2312" w:cs="仿宋_GB2312"/>
          <w:b/>
          <w:bCs/>
          <w:snapToGrid w:val="0"/>
          <w:color w:val="000000"/>
          <w:spacing w:val="2"/>
          <w:kern w:val="0"/>
          <w:sz w:val="32"/>
          <w:szCs w:val="32"/>
          <w:lang w:val="en-US" w:eastAsia="en-US" w:bidi="ar-SA"/>
        </w:rPr>
        <w:t>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napToGrid w:val="0"/>
          <w:color w:val="000000"/>
          <w:spacing w:val="-3"/>
          <w:kern w:val="0"/>
          <w:sz w:val="32"/>
          <w:szCs w:val="32"/>
          <w:lang w:val="en-US" w:eastAsia="en-US" w:bidi="ar-SA"/>
        </w:rPr>
      </w:pPr>
      <w:r>
        <w:rPr>
          <w:rFonts w:hint="eastAsia" w:ascii="仿宋_GB2312" w:hAnsi="仿宋_GB2312" w:eastAsia="仿宋_GB2312" w:cs="仿宋_GB2312"/>
          <w:snapToGrid w:val="0"/>
          <w:color w:val="000000"/>
          <w:spacing w:val="-3"/>
          <w:kern w:val="0"/>
          <w:sz w:val="32"/>
          <w:szCs w:val="32"/>
          <w:lang w:val="en-US" w:eastAsia="zh-CN" w:bidi="ar-SA"/>
        </w:rPr>
        <w:t>（1）</w:t>
      </w:r>
      <w:r>
        <w:rPr>
          <w:rFonts w:hint="eastAsia" w:ascii="仿宋_GB2312" w:hAnsi="仿宋_GB2312" w:eastAsia="仿宋_GB2312" w:cs="仿宋_GB2312"/>
          <w:snapToGrid w:val="0"/>
          <w:color w:val="000000"/>
          <w:spacing w:val="-3"/>
          <w:kern w:val="0"/>
          <w:sz w:val="32"/>
          <w:szCs w:val="32"/>
          <w:lang w:val="en-US" w:eastAsia="en-US" w:bidi="ar-SA"/>
        </w:rPr>
        <w:t>兼职教师包括校外教师、行业导师。其中，校外教师是指聘请外校或外单位具有《中华人民共和国教师法》《教师资格条例》规定的高等教育学校教师资格，聘期在一学期以上，从事教学工作的人员。包括其他学校退休教师和本校退休教师。行业导师暨行业企业一线兼职教师，是指学校按照聘用流程，聘请的校外行业、企事业单位、科研机构等无教师资格证但参与协助教学工作的高技能人才，聘期为一学期及以上。聘请校外教师和行业导师经折算后计入教师总数，原则上聘请校外教师和行业导师总数不超过专任教师总数的四分之一。</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napToGrid w:val="0"/>
          <w:color w:val="000000"/>
          <w:spacing w:val="-3"/>
          <w:kern w:val="0"/>
          <w:sz w:val="32"/>
          <w:szCs w:val="32"/>
          <w:lang w:val="en-US" w:eastAsia="en-US" w:bidi="ar-SA"/>
        </w:rPr>
      </w:pPr>
      <w:r>
        <w:rPr>
          <w:rFonts w:hint="eastAsia" w:ascii="仿宋_GB2312" w:hAnsi="仿宋_GB2312" w:eastAsia="仿宋_GB2312" w:cs="仿宋_GB2312"/>
          <w:snapToGrid w:val="0"/>
          <w:color w:val="000000"/>
          <w:spacing w:val="-3"/>
          <w:kern w:val="0"/>
          <w:sz w:val="32"/>
          <w:szCs w:val="32"/>
          <w:lang w:val="en-US" w:eastAsia="zh-CN" w:bidi="ar-SA"/>
        </w:rPr>
        <w:t>（2）</w:t>
      </w:r>
      <w:r>
        <w:rPr>
          <w:rFonts w:hint="eastAsia" w:ascii="仿宋_GB2312" w:hAnsi="仿宋_GB2312" w:eastAsia="仿宋_GB2312" w:cs="仿宋_GB2312"/>
          <w:snapToGrid w:val="0"/>
          <w:color w:val="000000"/>
          <w:spacing w:val="-3"/>
          <w:kern w:val="0"/>
          <w:sz w:val="32"/>
          <w:szCs w:val="32"/>
          <w:lang w:val="en-US" w:eastAsia="en-US" w:bidi="ar-SA"/>
        </w:rPr>
        <w:t>兼职教师占专兼职教师总数的比例=兼职教师数/专兼职教师总数*100%</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napToGrid w:val="0"/>
          <w:color w:val="000000"/>
          <w:spacing w:val="-3"/>
          <w:kern w:val="0"/>
          <w:sz w:val="32"/>
          <w:szCs w:val="32"/>
          <w:lang w:val="en-US" w:eastAsia="en-US" w:bidi="ar-SA"/>
        </w:rPr>
      </w:pPr>
      <w:r>
        <w:rPr>
          <w:rFonts w:hint="eastAsia" w:ascii="仿宋_GB2312" w:hAnsi="仿宋_GB2312" w:eastAsia="仿宋_GB2312" w:cs="仿宋_GB2312"/>
          <w:snapToGrid w:val="0"/>
          <w:color w:val="000000"/>
          <w:spacing w:val="-3"/>
          <w:kern w:val="0"/>
          <w:sz w:val="32"/>
          <w:szCs w:val="32"/>
          <w:lang w:val="en-US" w:eastAsia="zh-CN" w:bidi="ar-SA"/>
        </w:rPr>
        <w:t>（3）</w:t>
      </w:r>
      <w:r>
        <w:rPr>
          <w:rFonts w:hint="eastAsia" w:ascii="仿宋_GB2312" w:hAnsi="仿宋_GB2312" w:eastAsia="仿宋_GB2312" w:cs="仿宋_GB2312"/>
          <w:snapToGrid w:val="0"/>
          <w:color w:val="000000"/>
          <w:spacing w:val="-3"/>
          <w:kern w:val="0"/>
          <w:sz w:val="32"/>
          <w:szCs w:val="32"/>
          <w:lang w:val="en-US" w:eastAsia="en-US" w:bidi="ar-SA"/>
        </w:rPr>
        <w:t>行业导师占专兼职教师总数的比例=行业导师数/专兼职教师总数*100%</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napToGrid w:val="0"/>
          <w:color w:val="000000"/>
          <w:spacing w:val="-3"/>
          <w:kern w:val="0"/>
          <w:sz w:val="32"/>
          <w:szCs w:val="32"/>
          <w:lang w:val="en-US" w:eastAsia="en-US" w:bidi="ar-SA"/>
        </w:rPr>
      </w:pPr>
      <w:r>
        <w:rPr>
          <w:rFonts w:hint="eastAsia" w:ascii="仿宋_GB2312" w:hAnsi="仿宋_GB2312" w:eastAsia="仿宋_GB2312" w:cs="仿宋_GB2312"/>
          <w:snapToGrid w:val="0"/>
          <w:color w:val="000000"/>
          <w:spacing w:val="-3"/>
          <w:kern w:val="0"/>
          <w:sz w:val="32"/>
          <w:szCs w:val="32"/>
          <w:lang w:val="en-US" w:eastAsia="zh-CN" w:bidi="ar-SA"/>
        </w:rPr>
        <w:t>（4）</w:t>
      </w:r>
      <w:r>
        <w:rPr>
          <w:rFonts w:hint="eastAsia" w:ascii="仿宋_GB2312" w:hAnsi="仿宋_GB2312" w:eastAsia="仿宋_GB2312" w:cs="仿宋_GB2312"/>
          <w:snapToGrid w:val="0"/>
          <w:color w:val="000000"/>
          <w:spacing w:val="-3"/>
          <w:kern w:val="0"/>
          <w:sz w:val="32"/>
          <w:szCs w:val="32"/>
          <w:lang w:val="en-US" w:eastAsia="en-US" w:bidi="ar-SA"/>
        </w:rPr>
        <w:t>行业导师承担专业课教学任务课时占学校专业课总课时比例=行业导师承担专业课教学任务课时/学校专业课总课时*100%</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10.外籍教师配备</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en-US" w:bidi="ar-SA"/>
        </w:rPr>
        <w:t>统计口径及计算方</w:t>
      </w:r>
      <w:r>
        <w:rPr>
          <w:rFonts w:hint="eastAsia" w:ascii="仿宋_GB2312" w:hAnsi="仿宋_GB2312" w:eastAsia="仿宋_GB2312" w:cs="仿宋_GB2312"/>
          <w:b/>
          <w:bCs/>
          <w:snapToGrid w:val="0"/>
          <w:color w:val="000000"/>
          <w:spacing w:val="2"/>
          <w:kern w:val="0"/>
          <w:sz w:val="32"/>
          <w:szCs w:val="32"/>
          <w:lang w:val="en-US" w:eastAsia="zh-CN" w:bidi="ar-SA"/>
        </w:rPr>
        <w:t>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napToGrid w:val="0"/>
          <w:color w:val="000000"/>
          <w:spacing w:val="-3"/>
          <w:kern w:val="0"/>
          <w:sz w:val="32"/>
          <w:szCs w:val="32"/>
          <w:lang w:val="en-US" w:eastAsia="zh-CN" w:bidi="ar-SA"/>
        </w:rPr>
      </w:pPr>
      <w:r>
        <w:rPr>
          <w:rFonts w:hint="eastAsia" w:ascii="仿宋_GB2312" w:hAnsi="仿宋_GB2312" w:eastAsia="仿宋_GB2312" w:cs="仿宋_GB2312"/>
          <w:snapToGrid w:val="0"/>
          <w:color w:val="000000"/>
          <w:spacing w:val="-3"/>
          <w:kern w:val="0"/>
          <w:sz w:val="32"/>
          <w:szCs w:val="32"/>
          <w:lang w:val="en-US" w:eastAsia="zh-CN" w:bidi="ar-SA"/>
        </w:rPr>
        <w:t>外籍教师：是指由学校聘任、取得外国人来华工作许可和工作类居留证件、在学校从事教育教学工作的外籍人员。</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11.生师比</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textAlignment w:val="baseline"/>
        <w:rPr>
          <w:spacing w:val="-4"/>
          <w:sz w:val="32"/>
          <w:szCs w:val="32"/>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b w:val="0"/>
          <w:bCs w:val="0"/>
          <w:snapToGrid w:val="0"/>
          <w:color w:val="000000"/>
          <w:spacing w:val="2"/>
          <w:kern w:val="0"/>
          <w:sz w:val="32"/>
          <w:szCs w:val="32"/>
          <w:lang w:val="en-US" w:eastAsia="zh-CN" w:bidi="ar-SA"/>
        </w:rPr>
        <w:t>《</w:t>
      </w:r>
      <w:r>
        <w:rPr>
          <w:spacing w:val="-4"/>
          <w:sz w:val="32"/>
          <w:szCs w:val="32"/>
        </w:rPr>
        <w:t>职业学校办学条件重点监测指标》</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napToGrid w:val="0"/>
          <w:color w:val="000000"/>
          <w:spacing w:val="-3"/>
          <w:kern w:val="0"/>
          <w:sz w:val="32"/>
          <w:szCs w:val="32"/>
          <w:lang w:val="en-US" w:eastAsia="zh-CN" w:bidi="ar-SA"/>
        </w:rPr>
      </w:pPr>
      <w:r>
        <w:rPr>
          <w:rFonts w:hint="eastAsia" w:ascii="仿宋_GB2312" w:hAnsi="仿宋_GB2312" w:eastAsia="仿宋_GB2312" w:cs="仿宋_GB2312"/>
          <w:snapToGrid w:val="0"/>
          <w:color w:val="000000"/>
          <w:spacing w:val="-3"/>
          <w:kern w:val="0"/>
          <w:sz w:val="32"/>
          <w:szCs w:val="32"/>
          <w:lang w:val="en-US" w:eastAsia="zh-CN" w:bidi="ar-SA"/>
        </w:rPr>
        <w:t>（1）折合学生数=普通专科（高职）在校生数+留学生专科在校生数+预科生数+成人脱产在校生+成人业余在校生数*0.3+成人函授在校生数*0.1+附设中职班在校生*0.75</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napToGrid w:val="0"/>
          <w:color w:val="000000"/>
          <w:spacing w:val="-3"/>
          <w:kern w:val="0"/>
          <w:sz w:val="32"/>
          <w:szCs w:val="32"/>
          <w:lang w:val="en-US" w:eastAsia="zh-CN" w:bidi="ar-SA"/>
        </w:rPr>
      </w:pPr>
      <w:r>
        <w:rPr>
          <w:rFonts w:hint="eastAsia" w:ascii="仿宋_GB2312" w:hAnsi="仿宋_GB2312" w:eastAsia="仿宋_GB2312" w:cs="仿宋_GB2312"/>
          <w:snapToGrid w:val="0"/>
          <w:color w:val="000000"/>
          <w:spacing w:val="-3"/>
          <w:kern w:val="0"/>
          <w:sz w:val="32"/>
          <w:szCs w:val="32"/>
          <w:lang w:val="en-US" w:eastAsia="zh-CN" w:bidi="ar-SA"/>
        </w:rPr>
        <w:t>（2）折合教师数=专任教师数+校外教师数*0.5+行业导师*0.5+外籍教师</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napToGrid w:val="0"/>
          <w:color w:val="000000"/>
          <w:spacing w:val="-3"/>
          <w:kern w:val="0"/>
          <w:sz w:val="32"/>
          <w:szCs w:val="32"/>
          <w:lang w:val="en-US" w:eastAsia="zh-CN" w:bidi="ar-SA"/>
        </w:rPr>
      </w:pPr>
      <w:r>
        <w:rPr>
          <w:rFonts w:hint="eastAsia" w:ascii="仿宋_GB2312" w:hAnsi="仿宋_GB2312" w:eastAsia="仿宋_GB2312" w:cs="仿宋_GB2312"/>
          <w:snapToGrid w:val="0"/>
          <w:color w:val="000000"/>
          <w:spacing w:val="-3"/>
          <w:kern w:val="0"/>
          <w:sz w:val="32"/>
          <w:szCs w:val="32"/>
          <w:lang w:val="en-US" w:eastAsia="zh-CN" w:bidi="ar-SA"/>
        </w:rPr>
        <w:t>（3）生师比=折合在校生数/折合教师总数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jc w:val="both"/>
        <w:textAlignment w:val="baseline"/>
        <w:rPr>
          <w:rFonts w:hint="eastAsia" w:ascii="仿宋_GB2312" w:hAnsi="仿宋_GB2312" w:eastAsia="仿宋_GB2312" w:cs="仿宋_GB2312"/>
          <w:snapToGrid w:val="0"/>
          <w:color w:val="000000"/>
          <w:spacing w:val="-3"/>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标准值：</w:t>
      </w:r>
      <w:r>
        <w:rPr>
          <w:rFonts w:hint="eastAsia" w:ascii="仿宋_GB2312" w:hAnsi="仿宋_GB2312" w:eastAsia="仿宋_GB2312" w:cs="仿宋_GB2312"/>
          <w:snapToGrid w:val="0"/>
          <w:color w:val="000000"/>
          <w:spacing w:val="-3"/>
          <w:kern w:val="0"/>
          <w:sz w:val="32"/>
          <w:szCs w:val="32"/>
          <w:lang w:val="en-US" w:eastAsia="zh-CN" w:bidi="ar-SA"/>
        </w:rPr>
        <w:t>综合、师范、民族院校生师比≤18,工、农、林院校生师比≤18,医学院校生师比≤16,语文、财经、政法院校生师比≤18,体育院校生师比≤13,艺术院校生师比≤13。</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12.银龄计划</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en-US" w:bidi="ar-SA"/>
        </w:rPr>
      </w:pPr>
      <w:r>
        <w:rPr>
          <w:rFonts w:hint="eastAsia" w:ascii="仿宋_GB2312" w:hAnsi="仿宋_GB2312" w:eastAsia="仿宋_GB2312" w:cs="仿宋_GB2312"/>
          <w:b/>
          <w:bCs/>
          <w:snapToGrid w:val="0"/>
          <w:color w:val="000000"/>
          <w:spacing w:val="2"/>
          <w:kern w:val="0"/>
          <w:sz w:val="32"/>
          <w:szCs w:val="32"/>
          <w:lang w:val="en-US" w:eastAsia="en-US"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rPr>
        <w:t>银龄教师是指根据《国家银龄教师行动计划》,</w:t>
      </w:r>
      <w:r>
        <w:rPr>
          <w:rFonts w:hint="eastAsia" w:ascii="仿宋_GB2312" w:hAnsi="仿宋_GB2312" w:eastAsia="仿宋_GB2312" w:cs="仿宋_GB2312"/>
          <w:spacing w:val="-3"/>
          <w:sz w:val="32"/>
          <w:szCs w:val="32"/>
        </w:rPr>
        <w:t>鼓励高水平行业特色型高校退休教师参与，申请教师应</w:t>
      </w:r>
      <w:r>
        <w:rPr>
          <w:rFonts w:hint="eastAsia" w:ascii="仿宋_GB2312" w:hAnsi="仿宋_GB2312" w:eastAsia="仿宋_GB2312" w:cs="仿宋_GB2312"/>
          <w:spacing w:val="-4"/>
          <w:sz w:val="32"/>
          <w:szCs w:val="32"/>
        </w:rPr>
        <w:t>具有</w:t>
      </w:r>
      <w:r>
        <w:rPr>
          <w:rFonts w:hint="eastAsia" w:ascii="仿宋_GB2312" w:hAnsi="仿宋_GB2312" w:eastAsia="仿宋_GB2312" w:cs="仿宋_GB2312"/>
          <w:spacing w:val="-3"/>
          <w:sz w:val="32"/>
          <w:szCs w:val="32"/>
        </w:rPr>
        <w:t>副高级及以上职称，申请参与普通高等教育、职业教育、终</w:t>
      </w:r>
      <w:r>
        <w:rPr>
          <w:rFonts w:hint="eastAsia" w:ascii="仿宋_GB2312" w:hAnsi="仿宋_GB2312" w:eastAsia="仿宋_GB2312" w:cs="仿宋_GB2312"/>
          <w:spacing w:val="-1"/>
          <w:sz w:val="32"/>
          <w:szCs w:val="32"/>
        </w:rPr>
        <w:t>身教育、民办教育领域的线下银龄教师年龄一般应在70</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
          <w:sz w:val="32"/>
          <w:szCs w:val="32"/>
        </w:rPr>
        <w:t>含</w:t>
      </w:r>
      <w:r>
        <w:rPr>
          <w:rFonts w:hint="eastAsia" w:ascii="仿宋_GB2312" w:hAnsi="仿宋_GB2312" w:eastAsia="仿宋_GB2312" w:cs="仿宋_GB2312"/>
          <w:spacing w:val="-1"/>
          <w:sz w:val="32"/>
          <w:szCs w:val="32"/>
          <w:lang w:eastAsia="zh-CN"/>
        </w:rPr>
        <w:t>）</w:t>
      </w:r>
      <w:r>
        <w:rPr>
          <w:rFonts w:hint="eastAsia" w:ascii="仿宋_GB2312" w:hAnsi="仿宋_GB2312" w:eastAsia="仿宋_GB2312" w:cs="仿宋_GB2312"/>
          <w:spacing w:val="-18"/>
          <w:sz w:val="32"/>
          <w:szCs w:val="32"/>
        </w:rPr>
        <w:t>岁以下。</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13.“双师”型专业课专任教师配备</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spacing w:val="-4"/>
          <w:sz w:val="32"/>
          <w:szCs w:val="32"/>
        </w:rPr>
        <w:t>《国家职业教育改革实施方案》</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lang w:val="en-US" w:eastAsia="zh-CN"/>
        </w:rPr>
        <w:t>（1）</w:t>
      </w:r>
      <w:r>
        <w:rPr>
          <w:rFonts w:hint="eastAsia" w:ascii="仿宋_GB2312" w:hAnsi="仿宋_GB2312" w:eastAsia="仿宋_GB2312" w:cs="仿宋_GB2312"/>
          <w:spacing w:val="-3"/>
          <w:sz w:val="32"/>
          <w:szCs w:val="32"/>
        </w:rPr>
        <w:t>“双师”型专业课专任教师为符合《职业教育“双</w:t>
      </w:r>
      <w:r>
        <w:rPr>
          <w:rFonts w:hint="eastAsia" w:ascii="仿宋_GB2312" w:hAnsi="仿宋_GB2312" w:eastAsia="仿宋_GB2312" w:cs="仿宋_GB2312"/>
          <w:spacing w:val="15"/>
          <w:sz w:val="32"/>
          <w:szCs w:val="32"/>
        </w:rPr>
        <w:t>师型”教师基本标准(试行)》《教育部</w:t>
      </w:r>
      <w:r>
        <w:rPr>
          <w:rFonts w:hint="eastAsia" w:ascii="仿宋_GB2312" w:hAnsi="仿宋_GB2312" w:eastAsia="仿宋_GB2312" w:cs="仿宋_GB2312"/>
          <w:spacing w:val="14"/>
          <w:sz w:val="32"/>
          <w:szCs w:val="32"/>
        </w:rPr>
        <w:t>办公厅关于做好</w:t>
      </w:r>
      <w:r>
        <w:rPr>
          <w:rFonts w:hint="eastAsia" w:ascii="仿宋_GB2312" w:hAnsi="仿宋_GB2312" w:eastAsia="仿宋_GB2312" w:cs="仿宋_GB2312"/>
          <w:spacing w:val="-2"/>
          <w:sz w:val="32"/>
          <w:szCs w:val="32"/>
        </w:rPr>
        <w:t>职业教育“双师型”教师认定工作的通知》</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教师厅〔2022〕</w:t>
      </w:r>
      <w:r>
        <w:rPr>
          <w:rFonts w:hint="eastAsia" w:ascii="仿宋_GB2312" w:hAnsi="仿宋_GB2312" w:eastAsia="仿宋_GB2312" w:cs="仿宋_GB2312"/>
          <w:spacing w:val="9"/>
          <w:sz w:val="32"/>
          <w:szCs w:val="32"/>
        </w:rPr>
        <w:t>2号</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9"/>
          <w:sz w:val="32"/>
          <w:szCs w:val="32"/>
        </w:rPr>
        <w:t>所设条件的专业课专任教师。</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lang w:val="en-US" w:eastAsia="zh-CN"/>
        </w:rPr>
        <w:t>（2）</w:t>
      </w:r>
      <w:r>
        <w:rPr>
          <w:rFonts w:hint="eastAsia" w:ascii="仿宋_GB2312" w:hAnsi="仿宋_GB2312" w:eastAsia="仿宋_GB2312" w:cs="仿宋_GB2312"/>
          <w:spacing w:val="10"/>
          <w:sz w:val="32"/>
          <w:szCs w:val="32"/>
        </w:rPr>
        <w:t>“双师”型教师占专业课教师的</w:t>
      </w:r>
      <w:r>
        <w:rPr>
          <w:rFonts w:hint="eastAsia" w:ascii="仿宋_GB2312" w:hAnsi="仿宋_GB2312" w:eastAsia="仿宋_GB2312" w:cs="仿宋_GB2312"/>
          <w:spacing w:val="-8"/>
          <w:sz w:val="32"/>
          <w:szCs w:val="32"/>
        </w:rPr>
        <w:t>比例=“双师”型教师数/专业课教师数*</w:t>
      </w:r>
      <w:r>
        <w:rPr>
          <w:rFonts w:hint="eastAsia" w:ascii="仿宋_GB2312" w:hAnsi="仿宋_GB2312" w:eastAsia="仿宋_GB2312" w:cs="仿宋_GB2312"/>
          <w:spacing w:val="-9"/>
          <w:sz w:val="32"/>
          <w:szCs w:val="32"/>
        </w:rPr>
        <w:t>100%</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14.专职辅导员配备</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jc w:val="both"/>
        <w:textAlignment w:val="baseline"/>
        <w:rPr>
          <w:rFonts w:hint="eastAsia" w:ascii="仿宋_GB2312" w:hAnsi="仿宋_GB2312" w:eastAsia="仿宋_GB2312" w:cs="仿宋_GB2312"/>
          <w:spacing w:val="14"/>
          <w:sz w:val="32"/>
          <w:szCs w:val="32"/>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spacing w:val="14"/>
          <w:sz w:val="32"/>
          <w:szCs w:val="32"/>
        </w:rPr>
        <w:t>专职辅导员与全日制学生数之比来源于《普通高等学校辅导员队伍建设规定》</w:t>
      </w:r>
      <w:r>
        <w:rPr>
          <w:rFonts w:hint="eastAsia" w:ascii="仿宋_GB2312" w:hAnsi="仿宋_GB2312" w:eastAsia="仿宋_GB2312" w:cs="仿宋_GB2312"/>
          <w:spacing w:val="14"/>
          <w:sz w:val="32"/>
          <w:szCs w:val="32"/>
          <w:lang w:eastAsia="zh-CN"/>
        </w:rPr>
        <w:t>（</w:t>
      </w:r>
      <w:r>
        <w:rPr>
          <w:rFonts w:hint="eastAsia" w:ascii="仿宋_GB2312" w:hAnsi="仿宋_GB2312" w:eastAsia="仿宋_GB2312" w:cs="仿宋_GB2312"/>
          <w:spacing w:val="14"/>
          <w:sz w:val="32"/>
          <w:szCs w:val="32"/>
        </w:rPr>
        <w:t>2017年</w:t>
      </w:r>
      <w:r>
        <w:rPr>
          <w:rFonts w:hint="eastAsia" w:ascii="仿宋_GB2312" w:hAnsi="仿宋_GB2312" w:eastAsia="仿宋_GB2312" w:cs="仿宋_GB2312"/>
          <w:spacing w:val="14"/>
          <w:sz w:val="32"/>
          <w:szCs w:val="32"/>
          <w:lang w:eastAsia="zh-CN"/>
        </w:rPr>
        <w:t>）</w:t>
      </w:r>
      <w:r>
        <w:rPr>
          <w:rFonts w:hint="eastAsia" w:ascii="仿宋_GB2312" w:hAnsi="仿宋_GB2312" w:eastAsia="仿宋_GB2312" w:cs="仿宋_GB2312"/>
          <w:spacing w:val="14"/>
          <w:sz w:val="32"/>
          <w:szCs w:val="32"/>
        </w:rPr>
        <w:t>,《中国教育监测与评价统计指标体系</w:t>
      </w:r>
      <w:r>
        <w:rPr>
          <w:rFonts w:hint="eastAsia" w:ascii="仿宋_GB2312" w:hAnsi="仿宋_GB2312" w:eastAsia="仿宋_GB2312" w:cs="仿宋_GB2312"/>
          <w:spacing w:val="14"/>
          <w:sz w:val="32"/>
          <w:szCs w:val="32"/>
          <w:lang w:eastAsia="zh-CN"/>
        </w:rPr>
        <w:t>（</w:t>
      </w:r>
      <w:r>
        <w:rPr>
          <w:rFonts w:hint="eastAsia" w:ascii="仿宋_GB2312" w:hAnsi="仿宋_GB2312" w:eastAsia="仿宋_GB2312" w:cs="仿宋_GB2312"/>
          <w:spacing w:val="14"/>
          <w:sz w:val="32"/>
          <w:szCs w:val="32"/>
        </w:rPr>
        <w:t>2020年版</w:t>
      </w:r>
      <w:r>
        <w:rPr>
          <w:rFonts w:hint="eastAsia" w:ascii="仿宋_GB2312" w:hAnsi="仿宋_GB2312" w:eastAsia="仿宋_GB2312" w:cs="仿宋_GB2312"/>
          <w:spacing w:val="14"/>
          <w:sz w:val="32"/>
          <w:szCs w:val="32"/>
          <w:lang w:eastAsia="zh-CN"/>
        </w:rPr>
        <w:t>）</w:t>
      </w:r>
      <w:r>
        <w:rPr>
          <w:rFonts w:hint="eastAsia" w:ascii="仿宋_GB2312" w:hAnsi="仿宋_GB2312" w:eastAsia="仿宋_GB2312" w:cs="仿宋_GB2312"/>
          <w:spacing w:val="14"/>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0" w:leftChars="0" w:right="0" w:rightChars="0" w:firstLine="704" w:firstLineChars="200"/>
        <w:jc w:val="both"/>
        <w:textAlignment w:val="baseline"/>
        <w:rPr>
          <w:rFonts w:hint="eastAsia" w:ascii="仿宋_GB2312" w:hAnsi="仿宋_GB2312" w:eastAsia="仿宋_GB2312" w:cs="仿宋_GB2312"/>
          <w:spacing w:val="16"/>
          <w:sz w:val="32"/>
          <w:szCs w:val="32"/>
        </w:rPr>
      </w:pPr>
      <w:r>
        <w:rPr>
          <w:rFonts w:hint="eastAsia" w:ascii="仿宋_GB2312" w:hAnsi="仿宋_GB2312" w:eastAsia="仿宋_GB2312" w:cs="仿宋_GB2312"/>
          <w:spacing w:val="16"/>
          <w:sz w:val="32"/>
          <w:szCs w:val="32"/>
          <w:lang w:val="en-US" w:eastAsia="zh-CN"/>
        </w:rPr>
        <w:t>（1）</w:t>
      </w:r>
      <w:r>
        <w:rPr>
          <w:rFonts w:hint="eastAsia" w:ascii="仿宋_GB2312" w:hAnsi="仿宋_GB2312" w:eastAsia="仿宋_GB2312" w:cs="仿宋_GB2312"/>
          <w:spacing w:val="16"/>
          <w:sz w:val="32"/>
          <w:szCs w:val="32"/>
        </w:rPr>
        <w:t>专职辅导员是指在专职从事学生日常思想政治教育工作的人员，包括院(系)党委(党支部)副书记、学工组长、团委(团总支)书记等专职工作人员。高等学校可以从优秀专任教师、管理人员、研究生中选聘一定数量兼职辅导员，兼职辅导员工作量按专职辅导员工作量的三分之一核定。</w:t>
      </w:r>
    </w:p>
    <w:p>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0" w:leftChars="0" w:right="0" w:rightChars="0" w:firstLine="73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3"/>
          <w:sz w:val="32"/>
          <w:szCs w:val="32"/>
          <w:lang w:val="en-US" w:eastAsia="zh-CN"/>
        </w:rPr>
        <w:t>（2）</w:t>
      </w:r>
      <w:r>
        <w:rPr>
          <w:rFonts w:hint="eastAsia" w:ascii="仿宋_GB2312" w:hAnsi="仿宋_GB2312" w:eastAsia="仿宋_GB2312" w:cs="仿宋_GB2312"/>
          <w:spacing w:val="23"/>
          <w:sz w:val="32"/>
          <w:szCs w:val="32"/>
        </w:rPr>
        <w:t>全日制学生数=普通专科</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高职</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在校生数+留学</w:t>
      </w:r>
      <w:r>
        <w:rPr>
          <w:rFonts w:hint="eastAsia" w:ascii="仿宋_GB2312" w:hAnsi="仿宋_GB2312" w:eastAsia="仿宋_GB2312" w:cs="仿宋_GB2312"/>
          <w:spacing w:val="8"/>
          <w:sz w:val="32"/>
          <w:szCs w:val="32"/>
        </w:rPr>
        <w:t>生专科在校生数+预科生数+进修生数+成人脱产班学生数+</w:t>
      </w:r>
      <w:r>
        <w:rPr>
          <w:rFonts w:hint="eastAsia" w:ascii="仿宋_GB2312" w:hAnsi="仿宋_GB2312" w:eastAsia="仿宋_GB2312" w:cs="仿宋_GB2312"/>
          <w:spacing w:val="-9"/>
          <w:sz w:val="32"/>
          <w:szCs w:val="32"/>
        </w:rPr>
        <w:t>附设中职班在校生数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4"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lang w:val="en-US" w:eastAsia="zh-CN"/>
        </w:rPr>
        <w:t>（3）</w:t>
      </w:r>
      <w:r>
        <w:rPr>
          <w:rFonts w:hint="eastAsia" w:ascii="仿宋_GB2312" w:hAnsi="仿宋_GB2312" w:eastAsia="仿宋_GB2312" w:cs="仿宋_GB2312"/>
          <w:spacing w:val="11"/>
          <w:sz w:val="32"/>
          <w:szCs w:val="32"/>
        </w:rPr>
        <w:t>专职辅导员与全日制学生数之比=</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11"/>
          <w:sz w:val="32"/>
          <w:szCs w:val="32"/>
        </w:rPr>
        <w:t>专职辅</w:t>
      </w:r>
      <w:r>
        <w:rPr>
          <w:rFonts w:hint="eastAsia" w:ascii="仿宋_GB2312" w:hAnsi="仿宋_GB2312" w:eastAsia="仿宋_GB2312" w:cs="仿宋_GB2312"/>
          <w:spacing w:val="10"/>
          <w:sz w:val="32"/>
          <w:szCs w:val="32"/>
        </w:rPr>
        <w:t>导员数</w:t>
      </w:r>
      <w:r>
        <w:rPr>
          <w:rFonts w:hint="eastAsia" w:ascii="仿宋_GB2312" w:hAnsi="仿宋_GB2312" w:eastAsia="仿宋_GB2312" w:cs="仿宋_GB2312"/>
          <w:spacing w:val="9"/>
          <w:sz w:val="32"/>
          <w:szCs w:val="32"/>
        </w:rPr>
        <w:t>+兼职辅导员数/3</w:t>
      </w:r>
      <w:r>
        <w:rPr>
          <w:rFonts w:hint="eastAsia" w:ascii="仿宋_GB2312" w:hAnsi="仿宋_GB2312" w:eastAsia="仿宋_GB2312" w:cs="仿宋_GB2312"/>
          <w:spacing w:val="11"/>
          <w:sz w:val="32"/>
          <w:szCs w:val="32"/>
          <w:lang w:eastAsia="zh-CN"/>
        </w:rPr>
        <w:t>）</w:t>
      </w:r>
      <w:r>
        <w:rPr>
          <w:rFonts w:hint="eastAsia" w:ascii="仿宋_GB2312" w:hAnsi="仿宋_GB2312" w:eastAsia="仿宋_GB2312" w:cs="仿宋_GB2312"/>
          <w:spacing w:val="9"/>
          <w:sz w:val="32"/>
          <w:szCs w:val="32"/>
        </w:rPr>
        <w:t>/全日制</w:t>
      </w:r>
      <w:r>
        <w:rPr>
          <w:rFonts w:hint="eastAsia" w:ascii="仿宋_GB2312" w:hAnsi="仿宋_GB2312" w:eastAsia="仿宋_GB2312" w:cs="仿宋_GB2312"/>
          <w:spacing w:val="9"/>
          <w:sz w:val="32"/>
          <w:szCs w:val="32"/>
          <w:lang w:eastAsia="zh-CN"/>
        </w:rPr>
        <w:t>学生</w:t>
      </w:r>
      <w:r>
        <w:rPr>
          <w:rFonts w:hint="eastAsia" w:ascii="仿宋_GB2312" w:hAnsi="仿宋_GB2312" w:eastAsia="仿宋_GB2312" w:cs="仿宋_GB2312"/>
          <w:spacing w:val="9"/>
          <w:sz w:val="32"/>
          <w:szCs w:val="32"/>
        </w:rPr>
        <w:t>数</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15.专职思政课教师配备</w:t>
      </w:r>
    </w:p>
    <w:p>
      <w:pPr>
        <w:pStyle w:val="2"/>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60" w:lineRule="exact"/>
        <w:ind w:left="0" w:leftChars="0" w:right="0" w:rightChars="0" w:firstLine="650" w:firstLineChars="200"/>
        <w:jc w:val="both"/>
        <w:textAlignment w:val="baseline"/>
        <w:rPr>
          <w:rFonts w:hint="eastAsia" w:ascii="仿宋_GB2312" w:hAnsi="仿宋_GB2312" w:eastAsia="仿宋_GB2312" w:cs="仿宋_GB2312"/>
          <w:spacing w:val="8"/>
          <w:sz w:val="32"/>
          <w:szCs w:val="32"/>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spacing w:val="8"/>
          <w:sz w:val="32"/>
          <w:szCs w:val="32"/>
        </w:rPr>
        <w:t>专职思政教师与全日制学生数之比来源于《新时代高等学校思想政治理论课教师队伍建设规定》</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2020年</w:t>
      </w:r>
      <w:r>
        <w:rPr>
          <w:rFonts w:hint="eastAsia" w:ascii="仿宋_GB2312" w:hAnsi="仿宋_GB2312" w:eastAsia="仿宋_GB2312" w:cs="仿宋_GB2312"/>
          <w:spacing w:val="8"/>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732" w:firstLineChars="200"/>
        <w:jc w:val="both"/>
        <w:textAlignment w:val="baseline"/>
        <w:rPr>
          <w:rFonts w:hint="default" w:ascii="仿宋_GB2312" w:hAnsi="仿宋_GB2312" w:eastAsia="仿宋_GB2312" w:cs="仿宋_GB2312"/>
          <w:spacing w:val="23"/>
          <w:sz w:val="32"/>
          <w:szCs w:val="32"/>
          <w:lang w:val="en-US" w:eastAsia="zh-CN"/>
        </w:rPr>
      </w:pPr>
      <w:r>
        <w:rPr>
          <w:rFonts w:hint="eastAsia" w:ascii="仿宋_GB2312" w:hAnsi="仿宋_GB2312" w:eastAsia="仿宋_GB2312" w:cs="仿宋_GB2312"/>
          <w:spacing w:val="23"/>
          <w:sz w:val="32"/>
          <w:szCs w:val="32"/>
          <w:lang w:val="en-US" w:eastAsia="zh-CN"/>
        </w:rPr>
        <w:t>（1）专职思政课教师是指承担学校思政课教育教学和研究职责的专职教师，人事关系在马克思主义学院或思政课教研部。</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73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3"/>
          <w:sz w:val="32"/>
          <w:szCs w:val="32"/>
          <w:lang w:val="en-US" w:eastAsia="zh-CN"/>
        </w:rPr>
        <w:t>（2）</w:t>
      </w:r>
      <w:r>
        <w:rPr>
          <w:rFonts w:hint="eastAsia" w:ascii="仿宋_GB2312" w:hAnsi="仿宋_GB2312" w:eastAsia="仿宋_GB2312" w:cs="仿宋_GB2312"/>
          <w:spacing w:val="23"/>
          <w:sz w:val="32"/>
          <w:szCs w:val="32"/>
        </w:rPr>
        <w:t>全日制学生数=普通专科</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高职</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在校生数+留学</w:t>
      </w:r>
      <w:r>
        <w:rPr>
          <w:rFonts w:hint="eastAsia" w:ascii="仿宋_GB2312" w:hAnsi="仿宋_GB2312" w:eastAsia="仿宋_GB2312" w:cs="仿宋_GB2312"/>
          <w:spacing w:val="8"/>
          <w:sz w:val="32"/>
          <w:szCs w:val="32"/>
        </w:rPr>
        <w:t>生专科在校生数+预科生数+进修生数+成人脱产班学生数+</w:t>
      </w:r>
      <w:r>
        <w:rPr>
          <w:rFonts w:hint="eastAsia" w:ascii="仿宋_GB2312" w:hAnsi="仿宋_GB2312" w:eastAsia="仿宋_GB2312" w:cs="仿宋_GB2312"/>
          <w:spacing w:val="-4"/>
          <w:sz w:val="32"/>
          <w:szCs w:val="32"/>
        </w:rPr>
        <w:t>附设中职班在校生数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6"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lang w:val="en-US" w:eastAsia="zh-CN"/>
        </w:rPr>
        <w:t>（3）</w:t>
      </w:r>
      <w:r>
        <w:rPr>
          <w:rFonts w:hint="eastAsia" w:ascii="仿宋_GB2312" w:hAnsi="仿宋_GB2312" w:eastAsia="仿宋_GB2312" w:cs="仿宋_GB2312"/>
          <w:spacing w:val="4"/>
          <w:sz w:val="32"/>
          <w:szCs w:val="32"/>
        </w:rPr>
        <w:t>专职思政课教师与全日制学生数之比=专职思政课</w:t>
      </w:r>
      <w:r>
        <w:rPr>
          <w:rFonts w:hint="eastAsia" w:ascii="仿宋_GB2312" w:hAnsi="仿宋_GB2312" w:eastAsia="仿宋_GB2312" w:cs="仿宋_GB2312"/>
          <w:spacing w:val="-10"/>
          <w:sz w:val="32"/>
          <w:szCs w:val="32"/>
        </w:rPr>
        <w:t>教师数/全日制</w:t>
      </w:r>
      <w:r>
        <w:rPr>
          <w:rFonts w:hint="eastAsia" w:ascii="仿宋_GB2312" w:hAnsi="仿宋_GB2312" w:eastAsia="仿宋_GB2312" w:cs="仿宋_GB2312"/>
          <w:spacing w:val="-10"/>
          <w:sz w:val="32"/>
          <w:szCs w:val="32"/>
          <w:lang w:eastAsia="zh-CN"/>
        </w:rPr>
        <w:t>学生</w:t>
      </w:r>
      <w:r>
        <w:rPr>
          <w:rFonts w:hint="eastAsia" w:ascii="仿宋_GB2312" w:hAnsi="仿宋_GB2312" w:eastAsia="仿宋_GB2312" w:cs="仿宋_GB2312"/>
          <w:spacing w:val="-10"/>
          <w:sz w:val="32"/>
          <w:szCs w:val="32"/>
        </w:rPr>
        <w:t>数</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16.专职心理健康教师配备</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spacing w:val="-4"/>
          <w:sz w:val="32"/>
          <w:szCs w:val="32"/>
        </w:rPr>
        <w:t>专职心理健康教育教师与全日制学生数之比</w:t>
      </w:r>
      <w:r>
        <w:rPr>
          <w:rFonts w:hint="eastAsia" w:ascii="仿宋_GB2312" w:hAnsi="仿宋_GB2312" w:eastAsia="仿宋_GB2312" w:cs="仿宋_GB2312"/>
          <w:spacing w:val="-5"/>
          <w:sz w:val="32"/>
          <w:szCs w:val="32"/>
        </w:rPr>
        <w:t>来源于《关于加强学生心理健康管理工作的通知》</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2021年</w:t>
      </w:r>
      <w:r>
        <w:rPr>
          <w:rFonts w:hint="eastAsia" w:ascii="仿宋_GB2312" w:hAnsi="仿宋_GB2312" w:eastAsia="仿宋_GB2312" w:cs="仿宋_GB2312"/>
          <w:spacing w:val="-5"/>
          <w:sz w:val="32"/>
          <w:szCs w:val="32"/>
          <w:lang w:eastAsia="zh-CN"/>
        </w:rPr>
        <w:t>）</w:t>
      </w:r>
      <w:r>
        <w:rPr>
          <w:rFonts w:hint="eastAsia" w:ascii="仿宋_GB2312" w:hAnsi="仿宋_GB2312" w:eastAsia="仿宋_GB2312" w:cs="仿宋_GB2312"/>
          <w:spacing w:val="-5"/>
          <w:sz w:val="32"/>
          <w:szCs w:val="32"/>
        </w:rPr>
        <w:t>,</w:t>
      </w:r>
      <w:r>
        <w:rPr>
          <w:rFonts w:hint="eastAsia" w:ascii="仿宋_GB2312" w:hAnsi="仿宋_GB2312" w:eastAsia="仿宋_GB2312" w:cs="仿宋_GB2312"/>
          <w:spacing w:val="10"/>
          <w:sz w:val="32"/>
          <w:szCs w:val="32"/>
        </w:rPr>
        <w:t>《全面加强和改进新时代学生心理健康工作</w:t>
      </w:r>
      <w:r>
        <w:rPr>
          <w:rFonts w:hint="eastAsia" w:ascii="仿宋_GB2312" w:hAnsi="仿宋_GB2312" w:eastAsia="仿宋_GB2312" w:cs="仿宋_GB2312"/>
          <w:spacing w:val="9"/>
          <w:sz w:val="32"/>
          <w:szCs w:val="32"/>
        </w:rPr>
        <w:t>专项行动计划</w:t>
      </w:r>
      <w:r>
        <w:rPr>
          <w:rFonts w:hint="eastAsia" w:ascii="仿宋_GB2312" w:hAnsi="仿宋_GB2312" w:eastAsia="仿宋_GB2312" w:cs="仿宋_GB2312"/>
          <w:spacing w:val="28"/>
          <w:sz w:val="32"/>
          <w:szCs w:val="32"/>
          <w:lang w:eastAsia="zh-CN"/>
        </w:rPr>
        <w:t>（</w:t>
      </w:r>
      <w:r>
        <w:rPr>
          <w:rFonts w:hint="eastAsia" w:ascii="仿宋_GB2312" w:hAnsi="仿宋_GB2312" w:eastAsia="仿宋_GB2312" w:cs="仿宋_GB2312"/>
          <w:spacing w:val="28"/>
          <w:sz w:val="32"/>
          <w:szCs w:val="32"/>
        </w:rPr>
        <w:t>2023—2025年</w:t>
      </w:r>
      <w:r>
        <w:rPr>
          <w:rFonts w:hint="eastAsia" w:ascii="仿宋_GB2312" w:hAnsi="仿宋_GB2312" w:eastAsia="仿宋_GB2312" w:cs="仿宋_GB2312"/>
          <w:spacing w:val="28"/>
          <w:sz w:val="32"/>
          <w:szCs w:val="32"/>
          <w:lang w:eastAsia="zh-CN"/>
        </w:rPr>
        <w:t>）</w:t>
      </w:r>
      <w:r>
        <w:rPr>
          <w:rFonts w:hint="eastAsia" w:ascii="仿宋_GB2312" w:hAnsi="仿宋_GB2312" w:eastAsia="仿宋_GB2312" w:cs="仿宋_GB2312"/>
          <w:spacing w:val="28"/>
          <w:sz w:val="32"/>
          <w:szCs w:val="32"/>
        </w:rPr>
        <w:t>》</w:t>
      </w:r>
      <w:r>
        <w:rPr>
          <w:rFonts w:hint="eastAsia" w:ascii="仿宋_GB2312" w:hAnsi="仿宋_GB2312" w:eastAsia="仿宋_GB2312" w:cs="仿宋_GB2312"/>
          <w:spacing w:val="28"/>
          <w:sz w:val="32"/>
          <w:szCs w:val="32"/>
          <w:lang w:eastAsia="zh-CN"/>
        </w:rPr>
        <w:t>（</w:t>
      </w:r>
      <w:r>
        <w:rPr>
          <w:rFonts w:hint="eastAsia" w:ascii="仿宋_GB2312" w:hAnsi="仿宋_GB2312" w:eastAsia="仿宋_GB2312" w:cs="仿宋_GB2312"/>
          <w:spacing w:val="28"/>
          <w:sz w:val="32"/>
          <w:szCs w:val="32"/>
        </w:rPr>
        <w:t>2023年</w:t>
      </w:r>
      <w:r>
        <w:rPr>
          <w:rFonts w:hint="eastAsia" w:ascii="仿宋_GB2312" w:hAnsi="仿宋_GB2312" w:eastAsia="仿宋_GB2312" w:cs="仿宋_GB2312"/>
          <w:spacing w:val="28"/>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732" w:firstLineChars="200"/>
        <w:jc w:val="both"/>
        <w:textAlignment w:val="baseline"/>
        <w:rPr>
          <w:rFonts w:hint="eastAsia" w:ascii="仿宋_GB2312" w:hAnsi="仿宋_GB2312" w:eastAsia="仿宋_GB2312" w:cs="仿宋_GB2312"/>
          <w:spacing w:val="23"/>
          <w:sz w:val="32"/>
          <w:szCs w:val="32"/>
          <w:lang w:val="en-US" w:eastAsia="zh-CN"/>
        </w:rPr>
      </w:pPr>
      <w:r>
        <w:rPr>
          <w:rFonts w:hint="eastAsia" w:ascii="仿宋_GB2312" w:hAnsi="仿宋_GB2312" w:eastAsia="仿宋_GB2312" w:cs="仿宋_GB2312"/>
          <w:spacing w:val="23"/>
          <w:sz w:val="32"/>
          <w:szCs w:val="32"/>
          <w:lang w:val="en-US" w:eastAsia="zh-CN"/>
        </w:rPr>
        <w:t>（1）</w:t>
      </w:r>
      <w:r>
        <w:rPr>
          <w:rFonts w:hint="eastAsia" w:ascii="仿宋_GB2312" w:hAnsi="仿宋_GB2312" w:eastAsia="仿宋_GB2312" w:cs="仿宋_GB2312"/>
          <w:spacing w:val="11"/>
          <w:sz w:val="32"/>
          <w:szCs w:val="32"/>
        </w:rPr>
        <w:t>专职心理健康教育教师指在开设有专门的心理健</w:t>
      </w:r>
      <w:r>
        <w:rPr>
          <w:rFonts w:hint="eastAsia" w:ascii="仿宋_GB2312" w:hAnsi="仿宋_GB2312" w:eastAsia="仿宋_GB2312" w:cs="仿宋_GB2312"/>
          <w:spacing w:val="8"/>
          <w:sz w:val="32"/>
          <w:szCs w:val="32"/>
        </w:rPr>
        <w:t>康教育课或设立了心理辅导室的学校里专门从事心理健康</w:t>
      </w:r>
      <w:r>
        <w:rPr>
          <w:rFonts w:hint="eastAsia" w:ascii="仿宋_GB2312" w:hAnsi="仿宋_GB2312" w:eastAsia="仿宋_GB2312" w:cs="仿宋_GB2312"/>
          <w:spacing w:val="-7"/>
          <w:sz w:val="32"/>
          <w:szCs w:val="32"/>
        </w:rPr>
        <w:t>教育，不兼任其他学科教学的教师</w:t>
      </w:r>
      <w:r>
        <w:rPr>
          <w:rFonts w:hint="eastAsia" w:ascii="仿宋_GB2312" w:hAnsi="仿宋_GB2312" w:eastAsia="仿宋_GB2312" w:cs="仿宋_GB2312"/>
          <w:spacing w:val="-7"/>
          <w:sz w:val="32"/>
          <w:szCs w:val="32"/>
          <w:lang w:eastAsia="zh-CN"/>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73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23"/>
          <w:sz w:val="32"/>
          <w:szCs w:val="32"/>
          <w:lang w:val="en-US" w:eastAsia="zh-CN"/>
        </w:rPr>
        <w:t>（2）</w:t>
      </w:r>
      <w:r>
        <w:rPr>
          <w:rFonts w:hint="eastAsia" w:ascii="仿宋_GB2312" w:hAnsi="仿宋_GB2312" w:eastAsia="仿宋_GB2312" w:cs="仿宋_GB2312"/>
          <w:spacing w:val="23"/>
          <w:sz w:val="32"/>
          <w:szCs w:val="32"/>
        </w:rPr>
        <w:t>全日制学生数=普通专科</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高职</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在校生</w:t>
      </w:r>
      <w:r>
        <w:rPr>
          <w:rFonts w:hint="eastAsia" w:ascii="仿宋_GB2312" w:hAnsi="仿宋_GB2312" w:eastAsia="仿宋_GB2312" w:cs="仿宋_GB2312"/>
          <w:spacing w:val="22"/>
          <w:sz w:val="32"/>
          <w:szCs w:val="32"/>
        </w:rPr>
        <w:t>数+留学</w:t>
      </w:r>
      <w:r>
        <w:rPr>
          <w:rFonts w:hint="eastAsia" w:ascii="仿宋_GB2312" w:hAnsi="仿宋_GB2312" w:eastAsia="仿宋_GB2312" w:cs="仿宋_GB2312"/>
          <w:spacing w:val="8"/>
          <w:sz w:val="32"/>
          <w:szCs w:val="32"/>
        </w:rPr>
        <w:t>生专科在校生数+预科生数+进修生数+成人</w:t>
      </w:r>
      <w:r>
        <w:rPr>
          <w:rFonts w:hint="eastAsia" w:ascii="仿宋_GB2312" w:hAnsi="仿宋_GB2312" w:eastAsia="仿宋_GB2312" w:cs="仿宋_GB2312"/>
          <w:spacing w:val="7"/>
          <w:sz w:val="32"/>
          <w:szCs w:val="32"/>
        </w:rPr>
        <w:t>脱产班学生数+</w:t>
      </w:r>
      <w:r>
        <w:rPr>
          <w:rFonts w:hint="eastAsia" w:ascii="仿宋_GB2312" w:hAnsi="仿宋_GB2312" w:eastAsia="仿宋_GB2312" w:cs="仿宋_GB2312"/>
          <w:spacing w:val="-9"/>
          <w:sz w:val="32"/>
          <w:szCs w:val="32"/>
        </w:rPr>
        <w:t>附设中职班在校生数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3"/>
          <w:sz w:val="32"/>
          <w:szCs w:val="32"/>
          <w:lang w:val="en-US" w:eastAsia="zh-CN"/>
        </w:rPr>
        <w:t>（3）</w:t>
      </w:r>
      <w:r>
        <w:rPr>
          <w:rFonts w:hint="eastAsia" w:ascii="仿宋_GB2312" w:hAnsi="仿宋_GB2312" w:eastAsia="仿宋_GB2312" w:cs="仿宋_GB2312"/>
          <w:spacing w:val="3"/>
          <w:sz w:val="32"/>
          <w:szCs w:val="32"/>
        </w:rPr>
        <w:t>专职心理健康教育教师与全日制学生数之比=专职</w:t>
      </w:r>
      <w:r>
        <w:rPr>
          <w:rFonts w:hint="eastAsia" w:ascii="仿宋_GB2312" w:hAnsi="仿宋_GB2312" w:eastAsia="仿宋_GB2312" w:cs="仿宋_GB2312"/>
          <w:spacing w:val="-7"/>
          <w:sz w:val="32"/>
          <w:szCs w:val="32"/>
        </w:rPr>
        <w:t>心理健康教育教师数/全日制</w:t>
      </w:r>
      <w:r>
        <w:rPr>
          <w:rFonts w:hint="eastAsia" w:ascii="仿宋_GB2312" w:hAnsi="仿宋_GB2312" w:eastAsia="仿宋_GB2312" w:cs="仿宋_GB2312"/>
          <w:spacing w:val="-7"/>
          <w:sz w:val="32"/>
          <w:szCs w:val="32"/>
          <w:lang w:eastAsia="zh-CN"/>
        </w:rPr>
        <w:t>学生</w:t>
      </w:r>
      <w:r>
        <w:rPr>
          <w:rFonts w:hint="eastAsia" w:ascii="仿宋_GB2312" w:hAnsi="仿宋_GB2312" w:eastAsia="仿宋_GB2312" w:cs="仿宋_GB2312"/>
          <w:spacing w:val="-7"/>
          <w:sz w:val="32"/>
          <w:szCs w:val="32"/>
        </w:rPr>
        <w:t>数</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17.教师职业能力</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spacing w:val="1"/>
          <w:sz w:val="32"/>
          <w:szCs w:val="32"/>
        </w:rPr>
        <w:t>具</w:t>
      </w:r>
      <w:r>
        <w:rPr>
          <w:rFonts w:hint="eastAsia" w:ascii="仿宋_GB2312" w:hAnsi="仿宋_GB2312" w:eastAsia="仿宋_GB2312" w:cs="仿宋_GB2312"/>
          <w:spacing w:val="-4"/>
          <w:sz w:val="32"/>
          <w:szCs w:val="32"/>
        </w:rPr>
        <w:t>有研究生学位教师占专任教师的比例来源</w:t>
      </w:r>
      <w:r>
        <w:rPr>
          <w:rFonts w:hint="eastAsia" w:ascii="仿宋_GB2312" w:hAnsi="仿宋_GB2312" w:eastAsia="仿宋_GB2312" w:cs="仿宋_GB2312"/>
          <w:spacing w:val="1"/>
          <w:sz w:val="32"/>
          <w:szCs w:val="32"/>
        </w:rPr>
        <w:t>《职业学校办学条件重点监测指标》,具有高级职务教师占</w:t>
      </w:r>
      <w:r>
        <w:rPr>
          <w:rFonts w:hint="eastAsia" w:ascii="仿宋_GB2312" w:hAnsi="仿宋_GB2312" w:eastAsia="仿宋_GB2312" w:cs="仿宋_GB2312"/>
          <w:spacing w:val="-5"/>
          <w:sz w:val="32"/>
          <w:szCs w:val="32"/>
        </w:rPr>
        <w:t>专任教师的比例来源《普通高等学校基本办学条件指标》</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en-US" w:bidi="ar-SA"/>
        </w:rPr>
      </w:pPr>
      <w:r>
        <w:rPr>
          <w:rFonts w:hint="eastAsia" w:ascii="仿宋_GB2312" w:hAnsi="仿宋_GB2312" w:eastAsia="仿宋_GB2312" w:cs="仿宋_GB2312"/>
          <w:b/>
          <w:bCs/>
          <w:snapToGrid w:val="0"/>
          <w:color w:val="000000"/>
          <w:spacing w:val="2"/>
          <w:kern w:val="0"/>
          <w:sz w:val="32"/>
          <w:szCs w:val="32"/>
          <w:lang w:val="en-US" w:eastAsia="en-US"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8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0"/>
          <w:sz w:val="32"/>
          <w:szCs w:val="32"/>
          <w:lang w:val="en-US" w:eastAsia="zh-CN"/>
        </w:rPr>
        <w:t>（1）</w:t>
      </w:r>
      <w:r>
        <w:rPr>
          <w:rFonts w:hint="eastAsia" w:ascii="仿宋_GB2312" w:hAnsi="仿宋_GB2312" w:eastAsia="仿宋_GB2312" w:cs="仿宋_GB2312"/>
          <w:spacing w:val="10"/>
          <w:sz w:val="32"/>
          <w:szCs w:val="32"/>
        </w:rPr>
        <w:t>具有研究生学历及硕士学位教师占专任教师的比</w:t>
      </w:r>
      <w:r>
        <w:rPr>
          <w:rFonts w:hint="eastAsia" w:ascii="仿宋_GB2312" w:hAnsi="仿宋_GB2312" w:eastAsia="仿宋_GB2312" w:cs="仿宋_GB2312"/>
          <w:spacing w:val="22"/>
          <w:sz w:val="32"/>
          <w:szCs w:val="32"/>
        </w:rPr>
        <w:t>例=具有研究生学历及硕士学位专任教师数/专任教</w:t>
      </w:r>
      <w:r>
        <w:rPr>
          <w:rFonts w:hint="eastAsia" w:ascii="仿宋_GB2312" w:hAnsi="仿宋_GB2312" w:eastAsia="仿宋_GB2312" w:cs="仿宋_GB2312"/>
          <w:spacing w:val="21"/>
          <w:sz w:val="32"/>
          <w:szCs w:val="32"/>
        </w:rPr>
        <w:t>师数</w:t>
      </w:r>
      <w:r>
        <w:rPr>
          <w:rFonts w:hint="eastAsia" w:ascii="仿宋_GB2312" w:hAnsi="仿宋_GB2312" w:eastAsia="仿宋_GB2312" w:cs="仿宋_GB2312"/>
          <w:spacing w:val="-4"/>
          <w:sz w:val="32"/>
          <w:szCs w:val="32"/>
        </w:rPr>
        <w:t>*100%</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2"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lang w:val="en-US" w:eastAsia="zh-CN"/>
        </w:rPr>
        <w:t>（2）</w:t>
      </w:r>
      <w:r>
        <w:rPr>
          <w:rFonts w:hint="eastAsia" w:ascii="仿宋_GB2312" w:hAnsi="仿宋_GB2312" w:eastAsia="仿宋_GB2312" w:cs="仿宋_GB2312"/>
          <w:spacing w:val="3"/>
          <w:sz w:val="32"/>
          <w:szCs w:val="32"/>
        </w:rPr>
        <w:t>具有高级专业技术职务教师占专任教师的比例=具有副高级以上职务的专任教师数/专任教师数*100%</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28" w:firstLineChars="200"/>
        <w:jc w:val="both"/>
        <w:textAlignment w:val="baseline"/>
        <w:rPr>
          <w:rFonts w:hint="eastAsia" w:ascii="仿宋_GB2312" w:hAnsi="仿宋_GB2312" w:eastAsia="仿宋_GB2312" w:cs="仿宋_GB2312"/>
          <w:spacing w:val="-3"/>
          <w:sz w:val="32"/>
          <w:szCs w:val="32"/>
        </w:rPr>
      </w:pPr>
      <w:r>
        <w:rPr>
          <w:rFonts w:hint="eastAsia" w:ascii="仿宋_GB2312" w:hAnsi="仿宋_GB2312" w:eastAsia="仿宋_GB2312" w:cs="仿宋_GB2312"/>
          <w:spacing w:val="-3"/>
          <w:sz w:val="32"/>
          <w:szCs w:val="32"/>
          <w:lang w:val="en-US" w:eastAsia="zh-CN"/>
        </w:rPr>
        <w:t>（3）</w:t>
      </w:r>
      <w:r>
        <w:rPr>
          <w:rFonts w:hint="eastAsia" w:ascii="仿宋_GB2312" w:hAnsi="仿宋_GB2312" w:eastAsia="仿宋_GB2312" w:cs="仿宋_GB2312"/>
          <w:spacing w:val="-3"/>
          <w:sz w:val="32"/>
          <w:szCs w:val="32"/>
        </w:rPr>
        <w:t>专业课教师有相应的职业资格证书或职业技能等级证书比例=专业课教师有相应的职业资格证书或职业技能等级证书人数/专业课教师总数*100%</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en-US" w:bidi="ar-SA"/>
        </w:rPr>
      </w:pPr>
      <w:r>
        <w:rPr>
          <w:rFonts w:hint="eastAsia" w:ascii="黑体" w:hAnsi="黑体" w:eastAsia="黑体" w:cs="黑体"/>
          <w:b w:val="0"/>
          <w:bCs w:val="0"/>
          <w:snapToGrid w:val="0"/>
          <w:color w:val="000000"/>
          <w:spacing w:val="-2"/>
          <w:kern w:val="0"/>
          <w:sz w:val="32"/>
          <w:szCs w:val="32"/>
          <w:lang w:val="en-US" w:eastAsia="zh-CN" w:bidi="ar-SA"/>
        </w:rPr>
        <w:t>18.</w:t>
      </w:r>
      <w:r>
        <w:rPr>
          <w:rFonts w:hint="eastAsia" w:ascii="黑体" w:hAnsi="黑体" w:eastAsia="黑体" w:cs="黑体"/>
          <w:b w:val="0"/>
          <w:bCs w:val="0"/>
          <w:snapToGrid w:val="0"/>
          <w:color w:val="000000"/>
          <w:spacing w:val="-2"/>
          <w:kern w:val="0"/>
          <w:sz w:val="32"/>
          <w:szCs w:val="32"/>
          <w:lang w:val="en-US" w:eastAsia="en-US" w:bidi="ar-SA"/>
        </w:rPr>
        <w:t>企业经历</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textAlignment w:val="baseline"/>
        <w:rPr>
          <w:rFonts w:hint="eastAsia" w:ascii="仿宋_GB2312" w:hAnsi="仿宋_GB2312" w:eastAsia="仿宋_GB2312" w:cs="仿宋_GB2312"/>
          <w:spacing w:val="-1"/>
          <w:sz w:val="32"/>
          <w:szCs w:val="32"/>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b w:val="0"/>
          <w:bCs w:val="0"/>
          <w:snapToGrid w:val="0"/>
          <w:color w:val="000000"/>
          <w:spacing w:val="2"/>
          <w:kern w:val="0"/>
          <w:sz w:val="32"/>
          <w:szCs w:val="32"/>
          <w:lang w:val="en-US" w:eastAsia="zh-CN" w:bidi="ar-SA"/>
        </w:rPr>
        <w:t>《国家职业教育改革实施方案》《高等职业教育创新发展行动计划(2015-2018年)》</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textAlignment w:val="baseline"/>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6" w:firstLineChars="200"/>
        <w:jc w:val="both"/>
        <w:textAlignment w:val="baseline"/>
        <w:rPr>
          <w:rFonts w:hint="eastAsia" w:ascii="仿宋_GB2312" w:hAnsi="仿宋_GB2312" w:eastAsia="仿宋_GB2312" w:cs="仿宋_GB2312"/>
          <w:spacing w:val="-16"/>
          <w:sz w:val="32"/>
          <w:szCs w:val="32"/>
        </w:rPr>
      </w:pPr>
      <w:r>
        <w:rPr>
          <w:rFonts w:hint="eastAsia" w:ascii="仿宋_GB2312" w:hAnsi="仿宋_GB2312" w:eastAsia="仿宋_GB2312" w:cs="仿宋_GB2312"/>
          <w:spacing w:val="4"/>
          <w:sz w:val="32"/>
          <w:szCs w:val="32"/>
        </w:rPr>
        <w:t>所有专业课教师每年至少累计1个月参与企业实践或实训基地实训，或者每五年企业实践时间累计不少于6个月</w:t>
      </w:r>
      <w:r>
        <w:rPr>
          <w:rFonts w:hint="eastAsia" w:ascii="仿宋_GB2312" w:hAnsi="仿宋_GB2312" w:eastAsia="仿宋_GB2312" w:cs="仿宋_GB2312"/>
          <w:spacing w:val="-16"/>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jc w:val="center"/>
        <w:textAlignment w:val="baseline"/>
        <w:rPr>
          <w:rFonts w:hint="eastAsia" w:ascii="黑体" w:hAnsi="黑体" w:eastAsia="黑体" w:cs="黑体"/>
          <w:b w:val="0"/>
          <w:bCs w:val="0"/>
          <w:spacing w:val="-7"/>
          <w:sz w:val="32"/>
          <w:szCs w:val="32"/>
        </w:rPr>
      </w:pPr>
      <w:r>
        <w:rPr>
          <w:rFonts w:hint="eastAsia" w:ascii="黑体" w:hAnsi="黑体" w:eastAsia="黑体" w:cs="黑体"/>
          <w:b w:val="0"/>
          <w:bCs w:val="0"/>
          <w:spacing w:val="-7"/>
          <w:sz w:val="32"/>
          <w:szCs w:val="32"/>
        </w:rPr>
        <w:t>【指标四】经费保障</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19.生均财政拨款水平</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0" w:firstLineChars="200"/>
        <w:textAlignment w:val="baseline"/>
        <w:rPr>
          <w:rFonts w:hint="eastAsia" w:ascii="仿宋_GB2312" w:hAnsi="仿宋_GB2312" w:eastAsia="仿宋_GB2312" w:cs="仿宋_GB2312"/>
          <w:spacing w:val="-2"/>
          <w:sz w:val="32"/>
          <w:szCs w:val="32"/>
        </w:rPr>
      </w:pPr>
      <w:r>
        <w:rPr>
          <w:rFonts w:hint="eastAsia" w:ascii="仿宋_GB2312" w:hAnsi="仿宋_GB2312" w:eastAsia="仿宋_GB2312" w:cs="仿宋_GB2312"/>
          <w:b/>
          <w:bCs/>
          <w:snapToGrid w:val="0"/>
          <w:color w:val="000000"/>
          <w:spacing w:val="2"/>
          <w:kern w:val="0"/>
          <w:sz w:val="32"/>
          <w:szCs w:val="32"/>
          <w:lang w:val="en-US" w:eastAsia="zh-CN" w:bidi="ar-SA"/>
        </w:rPr>
        <w:t>指标来源：</w:t>
      </w:r>
      <w:r>
        <w:rPr>
          <w:rFonts w:hint="eastAsia" w:ascii="仿宋_GB2312" w:hAnsi="仿宋_GB2312" w:eastAsia="仿宋_GB2312" w:cs="仿宋_GB2312"/>
          <w:spacing w:val="-2"/>
          <w:sz w:val="32"/>
          <w:szCs w:val="32"/>
        </w:rPr>
        <w:t>《财政部教育部关于建立完善以改革和绩效为导向的生均拨款制度加快发展现代高等职业教育的意见》</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财教〔2014〕352号</w:t>
      </w:r>
      <w:r>
        <w:rPr>
          <w:rFonts w:hint="eastAsia" w:ascii="仿宋_GB2312" w:hAnsi="仿宋_GB2312" w:eastAsia="仿宋_GB2312" w:cs="仿宋_GB2312"/>
          <w:spacing w:val="-2"/>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6" w:firstLineChars="200"/>
        <w:jc w:val="both"/>
        <w:textAlignment w:val="baseline"/>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lang w:val="en-US" w:eastAsia="zh-CN"/>
        </w:rPr>
        <w:t>（1）</w:t>
      </w:r>
      <w:r>
        <w:rPr>
          <w:rFonts w:hint="eastAsia" w:ascii="仿宋_GB2312" w:hAnsi="仿宋_GB2312" w:eastAsia="仿宋_GB2312" w:cs="仿宋_GB2312"/>
          <w:spacing w:val="4"/>
          <w:sz w:val="32"/>
          <w:szCs w:val="32"/>
        </w:rPr>
        <w:t>年生均财政拨款水平是指政府收支分类科目“2050305高等职业教育”中，地方财政通过一般公共预算安排用于支持高职院校发展的经费，按全日制高等职业学历教育在校生人数折算的平均水平。</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6" w:firstLineChars="200"/>
        <w:jc w:val="both"/>
        <w:textAlignment w:val="baseline"/>
        <w:rPr>
          <w:rFonts w:hint="eastAsia"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lang w:val="en-US" w:eastAsia="zh-CN"/>
        </w:rPr>
        <w:t>（2）</w:t>
      </w:r>
      <w:r>
        <w:rPr>
          <w:rFonts w:hint="eastAsia" w:ascii="仿宋_GB2312" w:hAnsi="仿宋_GB2312" w:eastAsia="仿宋_GB2312" w:cs="仿宋_GB2312"/>
          <w:spacing w:val="4"/>
          <w:sz w:val="32"/>
          <w:szCs w:val="32"/>
        </w:rPr>
        <w:t>全日制学生数=普通专科</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高职</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4"/>
          <w:sz w:val="32"/>
          <w:szCs w:val="32"/>
        </w:rPr>
        <w:t>在校生数+留学生专科在校生数+预科生数+进修生数+成人脱产班学生数+附设中职班在校生数</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6" w:firstLineChars="200"/>
        <w:jc w:val="both"/>
        <w:textAlignment w:val="baseline"/>
        <w:rPr>
          <w:rFonts w:hint="default" w:ascii="仿宋_GB2312" w:hAnsi="仿宋_GB2312" w:eastAsia="仿宋_GB2312" w:cs="仿宋_GB2312"/>
          <w:spacing w:val="4"/>
          <w:sz w:val="32"/>
          <w:szCs w:val="32"/>
          <w:lang w:val="en-US" w:eastAsia="zh-CN"/>
        </w:rPr>
      </w:pPr>
      <w:r>
        <w:rPr>
          <w:rFonts w:hint="eastAsia" w:ascii="仿宋_GB2312" w:hAnsi="仿宋_GB2312" w:eastAsia="仿宋_GB2312" w:cs="仿宋_GB2312"/>
          <w:spacing w:val="4"/>
          <w:sz w:val="32"/>
          <w:szCs w:val="32"/>
          <w:lang w:val="en-US" w:eastAsia="zh-CN"/>
        </w:rPr>
        <w:t>（3）年生均财政拨款水平=财政生均拨款收入/全日制学生数</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32" w:firstLineChars="200"/>
        <w:textAlignment w:val="baseline"/>
        <w:outlineLvl w:val="0"/>
        <w:rPr>
          <w:rFonts w:hint="eastAsia" w:ascii="黑体" w:hAnsi="黑体" w:eastAsia="黑体" w:cs="黑体"/>
          <w:b w:val="0"/>
          <w:bCs w:val="0"/>
          <w:snapToGrid w:val="0"/>
          <w:color w:val="000000"/>
          <w:spacing w:val="-2"/>
          <w:kern w:val="0"/>
          <w:sz w:val="32"/>
          <w:szCs w:val="32"/>
          <w:lang w:val="en-US" w:eastAsia="zh-CN" w:bidi="ar-SA"/>
        </w:rPr>
      </w:pPr>
      <w:r>
        <w:rPr>
          <w:rFonts w:hint="eastAsia" w:ascii="黑体" w:hAnsi="黑体" w:eastAsia="黑体" w:cs="黑体"/>
          <w:b w:val="0"/>
          <w:bCs w:val="0"/>
          <w:snapToGrid w:val="0"/>
          <w:color w:val="000000"/>
          <w:spacing w:val="-2"/>
          <w:kern w:val="0"/>
          <w:sz w:val="32"/>
          <w:szCs w:val="32"/>
          <w:lang w:val="en-US" w:eastAsia="zh-CN" w:bidi="ar-SA"/>
        </w:rPr>
        <w:t>20.教学日常运行支出</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8" w:firstLineChars="200"/>
        <w:jc w:val="both"/>
        <w:textAlignment w:val="baseline"/>
        <w:rPr>
          <w:rFonts w:hint="eastAsia" w:ascii="仿宋_GB2312" w:hAnsi="仿宋_GB2312" w:eastAsia="仿宋_GB2312" w:cs="仿宋_GB2312"/>
          <w:color w:val="000000"/>
          <w:spacing w:val="4"/>
          <w:sz w:val="32"/>
          <w:szCs w:val="32"/>
          <w:lang w:val="en-US" w:eastAsia="zh-CN"/>
        </w:rPr>
      </w:pPr>
      <w:r>
        <w:rPr>
          <w:rFonts w:hint="eastAsia" w:ascii="仿宋_GB2312" w:hAnsi="仿宋_GB2312" w:eastAsia="仿宋_GB2312" w:cs="仿宋_GB2312"/>
          <w:b/>
          <w:bCs/>
          <w:color w:val="000000"/>
          <w:spacing w:val="4"/>
          <w:sz w:val="32"/>
          <w:szCs w:val="32"/>
          <w:lang w:val="en-US" w:eastAsia="zh-CN"/>
        </w:rPr>
        <w:t>指标来源：</w:t>
      </w:r>
      <w:r>
        <w:rPr>
          <w:rFonts w:hint="eastAsia" w:ascii="仿宋_GB2312" w:hAnsi="仿宋_GB2312" w:eastAsia="仿宋_GB2312" w:cs="仿宋_GB2312"/>
          <w:color w:val="000000"/>
          <w:spacing w:val="4"/>
          <w:sz w:val="32"/>
          <w:szCs w:val="32"/>
          <w:lang w:val="en-US" w:eastAsia="zh-CN"/>
        </w:rPr>
        <w:t>《本科层次职业学校本科教学工作合格评估指标和基本要求（试行）》（2021年）</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right="0" w:rightChars="0" w:firstLine="650" w:firstLineChars="200"/>
        <w:jc w:val="both"/>
        <w:textAlignment w:val="baseline"/>
        <w:outlineLvl w:val="0"/>
        <w:rPr>
          <w:rFonts w:hint="eastAsia" w:ascii="仿宋_GB2312" w:hAnsi="仿宋_GB2312" w:eastAsia="仿宋_GB2312" w:cs="仿宋_GB2312"/>
          <w:b/>
          <w:bCs/>
          <w:snapToGrid w:val="0"/>
          <w:color w:val="000000"/>
          <w:spacing w:val="2"/>
          <w:kern w:val="0"/>
          <w:sz w:val="32"/>
          <w:szCs w:val="32"/>
          <w:lang w:val="en-US" w:eastAsia="zh-CN" w:bidi="ar-SA"/>
        </w:rPr>
      </w:pPr>
      <w:r>
        <w:rPr>
          <w:rFonts w:hint="eastAsia" w:ascii="仿宋_GB2312" w:hAnsi="仿宋_GB2312" w:eastAsia="仿宋_GB2312" w:cs="仿宋_GB2312"/>
          <w:b/>
          <w:bCs/>
          <w:snapToGrid w:val="0"/>
          <w:color w:val="000000"/>
          <w:spacing w:val="2"/>
          <w:kern w:val="0"/>
          <w:sz w:val="32"/>
          <w:szCs w:val="32"/>
          <w:lang w:val="en-US" w:eastAsia="zh-CN" w:bidi="ar-SA"/>
        </w:rPr>
        <w:t>统计口径及计算方法：</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58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5"/>
          <w:sz w:val="32"/>
          <w:szCs w:val="32"/>
          <w:lang w:val="en-US" w:eastAsia="zh-CN"/>
        </w:rPr>
        <w:t>（1）</w:t>
      </w:r>
      <w:r>
        <w:rPr>
          <w:rFonts w:hint="eastAsia" w:ascii="仿宋_GB2312" w:hAnsi="仿宋_GB2312" w:eastAsia="仿宋_GB2312" w:cs="仿宋_GB2312"/>
          <w:spacing w:val="-15"/>
          <w:sz w:val="32"/>
          <w:szCs w:val="32"/>
        </w:rPr>
        <w:t>教学日常运行支出是指学</w:t>
      </w:r>
      <w:r>
        <w:rPr>
          <w:rFonts w:hint="eastAsia" w:ascii="仿宋_GB2312" w:hAnsi="仿宋_GB2312" w:eastAsia="仿宋_GB2312" w:cs="仿宋_GB2312"/>
          <w:spacing w:val="1"/>
          <w:sz w:val="32"/>
          <w:szCs w:val="32"/>
        </w:rPr>
        <w:t>校开展教学活动及其辅</w:t>
      </w:r>
      <w:r>
        <w:rPr>
          <w:rFonts w:hint="eastAsia" w:ascii="仿宋_GB2312" w:hAnsi="仿宋_GB2312" w:eastAsia="仿宋_GB2312" w:cs="仿宋_GB2312"/>
          <w:spacing w:val="-13"/>
          <w:sz w:val="32"/>
          <w:szCs w:val="32"/>
        </w:rPr>
        <w:t>助活动发生的支出，仅指教学基本支出中的商品和服务支出</w:t>
      </w:r>
      <w:r>
        <w:rPr>
          <w:rFonts w:hint="eastAsia" w:ascii="仿宋_GB2312" w:hAnsi="仿宋_GB2312" w:eastAsia="仿宋_GB2312" w:cs="仿宋_GB2312"/>
          <w:spacing w:val="13"/>
          <w:sz w:val="32"/>
          <w:szCs w:val="32"/>
          <w:lang w:eastAsia="zh-CN"/>
        </w:rPr>
        <w:t>（</w:t>
      </w:r>
      <w:r>
        <w:rPr>
          <w:rFonts w:hint="eastAsia" w:ascii="仿宋_GB2312" w:hAnsi="仿宋_GB2312" w:eastAsia="仿宋_GB2312" w:cs="仿宋_GB2312"/>
          <w:spacing w:val="13"/>
          <w:sz w:val="32"/>
          <w:szCs w:val="32"/>
        </w:rPr>
        <w:t>302类</w:t>
      </w:r>
      <w:r>
        <w:rPr>
          <w:rFonts w:hint="eastAsia" w:ascii="仿宋_GB2312" w:hAnsi="仿宋_GB2312" w:eastAsia="仿宋_GB2312" w:cs="仿宋_GB2312"/>
          <w:spacing w:val="13"/>
          <w:sz w:val="32"/>
          <w:szCs w:val="32"/>
          <w:lang w:eastAsia="zh-CN"/>
        </w:rPr>
        <w:t>）</w:t>
      </w:r>
      <w:r>
        <w:rPr>
          <w:rFonts w:hint="eastAsia" w:ascii="仿宋_GB2312" w:hAnsi="仿宋_GB2312" w:eastAsia="仿宋_GB2312" w:cs="仿宋_GB2312"/>
          <w:spacing w:val="13"/>
          <w:sz w:val="32"/>
          <w:szCs w:val="32"/>
        </w:rPr>
        <w:t>,不包括教学专项拨款支出，具体包括：教学教</w:t>
      </w:r>
      <w:r>
        <w:rPr>
          <w:rFonts w:hint="eastAsia" w:ascii="仿宋_GB2312" w:hAnsi="仿宋_GB2312" w:eastAsia="仿宋_GB2312" w:cs="仿宋_GB2312"/>
          <w:spacing w:val="-8"/>
          <w:sz w:val="32"/>
          <w:szCs w:val="32"/>
        </w:rPr>
        <w:t>辅部门发生的办公费</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含考试考务费、手续费等</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9"/>
          <w:sz w:val="32"/>
          <w:szCs w:val="32"/>
        </w:rPr>
        <w:t>、印刷费、</w:t>
      </w:r>
      <w:r>
        <w:rPr>
          <w:rFonts w:hint="eastAsia" w:ascii="仿宋_GB2312" w:hAnsi="仿宋_GB2312" w:eastAsia="仿宋_GB2312" w:cs="仿宋_GB2312"/>
          <w:spacing w:val="-8"/>
          <w:sz w:val="32"/>
          <w:szCs w:val="32"/>
        </w:rPr>
        <w:t>咨询费、邮电费、交通费、差旅费、出国费、维修</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9"/>
          <w:sz w:val="32"/>
          <w:szCs w:val="32"/>
        </w:rPr>
        <w:t>护</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9"/>
          <w:sz w:val="32"/>
          <w:szCs w:val="32"/>
        </w:rPr>
        <w:t>费、</w:t>
      </w:r>
      <w:r>
        <w:rPr>
          <w:rFonts w:hint="eastAsia" w:ascii="仿宋_GB2312" w:hAnsi="仿宋_GB2312" w:eastAsia="仿宋_GB2312" w:cs="仿宋_GB2312"/>
          <w:spacing w:val="-8"/>
          <w:sz w:val="32"/>
          <w:szCs w:val="32"/>
        </w:rPr>
        <w:t>租赁费、会议费、培训费、专用材料费</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8"/>
          <w:sz w:val="32"/>
          <w:szCs w:val="32"/>
        </w:rPr>
        <w:t>含体育维</w:t>
      </w:r>
      <w:r>
        <w:rPr>
          <w:rFonts w:hint="eastAsia" w:ascii="仿宋_GB2312" w:hAnsi="仿宋_GB2312" w:eastAsia="仿宋_GB2312" w:cs="仿宋_GB2312"/>
          <w:spacing w:val="-9"/>
          <w:sz w:val="32"/>
          <w:szCs w:val="32"/>
        </w:rPr>
        <w:t>持费等</w:t>
      </w:r>
      <w:r>
        <w:rPr>
          <w:rFonts w:hint="eastAsia" w:ascii="仿宋_GB2312" w:hAnsi="仿宋_GB2312" w:eastAsia="仿宋_GB2312" w:cs="仿宋_GB2312"/>
          <w:spacing w:val="-8"/>
          <w:sz w:val="32"/>
          <w:szCs w:val="32"/>
          <w:lang w:eastAsia="zh-CN"/>
        </w:rPr>
        <w:t>）</w:t>
      </w:r>
      <w:r>
        <w:rPr>
          <w:rFonts w:hint="eastAsia" w:ascii="仿宋_GB2312" w:hAnsi="仿宋_GB2312" w:eastAsia="仿宋_GB2312" w:cs="仿宋_GB2312"/>
          <w:spacing w:val="-9"/>
          <w:sz w:val="32"/>
          <w:szCs w:val="32"/>
        </w:rPr>
        <w:t>、</w:t>
      </w:r>
      <w:r>
        <w:rPr>
          <w:rFonts w:hint="eastAsia" w:ascii="仿宋_GB2312" w:hAnsi="仿宋_GB2312" w:eastAsia="仿宋_GB2312" w:cs="仿宋_GB2312"/>
          <w:spacing w:val="-7"/>
          <w:sz w:val="32"/>
          <w:szCs w:val="32"/>
        </w:rPr>
        <w:t>劳务费、其他教学商品和服务支出</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7"/>
          <w:sz w:val="32"/>
          <w:szCs w:val="32"/>
        </w:rPr>
        <w:t>含学生活动费、教学咨</w:t>
      </w:r>
      <w:r>
        <w:rPr>
          <w:rFonts w:hint="eastAsia" w:ascii="仿宋_GB2312" w:hAnsi="仿宋_GB2312" w:eastAsia="仿宋_GB2312" w:cs="仿宋_GB2312"/>
          <w:spacing w:val="-14"/>
          <w:sz w:val="32"/>
          <w:szCs w:val="32"/>
        </w:rPr>
        <w:t>询研究机构会员费、教学改革科研业务费、委托业务费</w:t>
      </w:r>
      <w:r>
        <w:rPr>
          <w:rFonts w:hint="eastAsia" w:ascii="仿宋_GB2312" w:hAnsi="仿宋_GB2312" w:eastAsia="仿宋_GB2312" w:cs="仿宋_GB2312"/>
          <w:spacing w:val="-15"/>
          <w:sz w:val="32"/>
          <w:szCs w:val="32"/>
        </w:rPr>
        <w:t>等</w:t>
      </w:r>
      <w:r>
        <w:rPr>
          <w:rFonts w:hint="eastAsia" w:ascii="仿宋_GB2312" w:hAnsi="仿宋_GB2312" w:eastAsia="仿宋_GB2312" w:cs="仿宋_GB2312"/>
          <w:spacing w:val="-7"/>
          <w:sz w:val="32"/>
          <w:szCs w:val="32"/>
          <w:lang w:eastAsia="zh-CN"/>
        </w:rPr>
        <w:t>）</w:t>
      </w:r>
      <w:r>
        <w:rPr>
          <w:rFonts w:hint="eastAsia" w:ascii="仿宋_GB2312" w:hAnsi="仿宋_GB2312" w:eastAsia="仿宋_GB2312" w:cs="仿宋_GB2312"/>
          <w:spacing w:val="-15"/>
          <w:sz w:val="32"/>
          <w:szCs w:val="32"/>
        </w:rPr>
        <w:t>。</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96"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14"/>
          <w:sz w:val="32"/>
          <w:szCs w:val="32"/>
          <w:lang w:val="en-US" w:eastAsia="zh-CN"/>
        </w:rPr>
        <w:t>（2）</w:t>
      </w:r>
      <w:r>
        <w:rPr>
          <w:rFonts w:hint="eastAsia" w:ascii="仿宋_GB2312" w:hAnsi="仿宋_GB2312" w:eastAsia="仿宋_GB2312" w:cs="仿宋_GB2312"/>
          <w:spacing w:val="14"/>
          <w:sz w:val="32"/>
          <w:szCs w:val="32"/>
        </w:rPr>
        <w:t>折合学生数=普通专科</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23"/>
          <w:sz w:val="32"/>
          <w:szCs w:val="32"/>
        </w:rPr>
        <w:t>高职</w:t>
      </w:r>
      <w:r>
        <w:rPr>
          <w:rFonts w:hint="eastAsia" w:ascii="仿宋_GB2312" w:hAnsi="仿宋_GB2312" w:eastAsia="仿宋_GB2312" w:cs="仿宋_GB2312"/>
          <w:spacing w:val="23"/>
          <w:sz w:val="32"/>
          <w:szCs w:val="32"/>
          <w:lang w:eastAsia="zh-CN"/>
        </w:rPr>
        <w:t>）</w:t>
      </w:r>
      <w:r>
        <w:rPr>
          <w:rFonts w:hint="eastAsia" w:ascii="仿宋_GB2312" w:hAnsi="仿宋_GB2312" w:eastAsia="仿宋_GB2312" w:cs="仿宋_GB2312"/>
          <w:spacing w:val="14"/>
          <w:sz w:val="32"/>
          <w:szCs w:val="32"/>
        </w:rPr>
        <w:t>在校生数+留学生</w:t>
      </w:r>
      <w:r>
        <w:rPr>
          <w:rFonts w:hint="eastAsia" w:ascii="仿宋_GB2312" w:hAnsi="仿宋_GB2312" w:eastAsia="仿宋_GB2312" w:cs="仿宋_GB2312"/>
          <w:spacing w:val="2"/>
          <w:sz w:val="32"/>
          <w:szCs w:val="32"/>
        </w:rPr>
        <w:t>专科在校生数+预科生数+成人脱产在校生+成人业余在校生</w:t>
      </w:r>
      <w:r>
        <w:rPr>
          <w:rFonts w:hint="eastAsia" w:ascii="仿宋_GB2312" w:hAnsi="仿宋_GB2312" w:eastAsia="仿宋_GB2312" w:cs="仿宋_GB2312"/>
          <w:spacing w:val="-8"/>
          <w:sz w:val="32"/>
          <w:szCs w:val="32"/>
        </w:rPr>
        <w:t>数*0.3+成人函授在校生数*0.1+附设中职班在校生*0.75</w:t>
      </w:r>
    </w:p>
    <w:p>
      <w:pPr>
        <w:pStyle w:val="2"/>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6"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pacing w:val="4"/>
          <w:sz w:val="32"/>
          <w:szCs w:val="32"/>
          <w:lang w:val="en-US" w:eastAsia="zh-CN"/>
        </w:rPr>
        <w:t>（3）</w:t>
      </w:r>
      <w:r>
        <w:rPr>
          <w:rFonts w:hint="eastAsia" w:ascii="仿宋_GB2312" w:hAnsi="仿宋_GB2312" w:eastAsia="仿宋_GB2312" w:cs="仿宋_GB2312"/>
          <w:spacing w:val="4"/>
          <w:sz w:val="32"/>
          <w:szCs w:val="32"/>
        </w:rPr>
        <w:t>生均年教学日常运行支出=当年教学日常运行支出</w:t>
      </w:r>
      <w:r>
        <w:rPr>
          <w:rFonts w:hint="eastAsia" w:ascii="仿宋_GB2312" w:hAnsi="仿宋_GB2312" w:eastAsia="仿宋_GB2312" w:cs="仿宋_GB2312"/>
          <w:spacing w:val="-14"/>
          <w:sz w:val="32"/>
          <w:szCs w:val="32"/>
        </w:rPr>
        <w:t>/折合学生数</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656" w:firstLineChars="200"/>
        <w:textAlignment w:val="baseline"/>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spacing w:val="4"/>
          <w:sz w:val="32"/>
          <w:szCs w:val="32"/>
          <w:lang w:val="en-US" w:eastAsia="zh-CN"/>
        </w:rPr>
        <w:t>（4）</w:t>
      </w:r>
      <w:r>
        <w:rPr>
          <w:rFonts w:hint="eastAsia" w:ascii="仿宋_GB2312" w:hAnsi="仿宋_GB2312" w:eastAsia="仿宋_GB2312" w:cs="仿宋_GB2312"/>
          <w:spacing w:val="4"/>
          <w:sz w:val="32"/>
          <w:szCs w:val="32"/>
        </w:rPr>
        <w:t>教学日常运行支出占比=教学日常运行支出/</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4"/>
          <w:sz w:val="32"/>
          <w:szCs w:val="32"/>
        </w:rPr>
        <w:t>经常</w:t>
      </w:r>
      <w:r>
        <w:rPr>
          <w:rFonts w:hint="eastAsia" w:ascii="仿宋_GB2312" w:hAnsi="仿宋_GB2312" w:eastAsia="仿宋_GB2312" w:cs="仿宋_GB2312"/>
          <w:spacing w:val="9"/>
          <w:sz w:val="32"/>
          <w:szCs w:val="32"/>
        </w:rPr>
        <w:t>性预算内教育事业费拨款</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9"/>
          <w:sz w:val="32"/>
          <w:szCs w:val="32"/>
        </w:rPr>
        <w:t>205类教育拨款扣除专项拨款</w:t>
      </w:r>
      <w:r>
        <w:rPr>
          <w:rFonts w:hint="eastAsia" w:ascii="仿宋_GB2312" w:hAnsi="仿宋_GB2312" w:eastAsia="仿宋_GB2312" w:cs="仿宋_GB2312"/>
          <w:spacing w:val="9"/>
          <w:sz w:val="32"/>
          <w:szCs w:val="32"/>
          <w:lang w:eastAsia="zh-CN"/>
        </w:rPr>
        <w:t>）</w:t>
      </w:r>
      <w:r>
        <w:rPr>
          <w:rFonts w:hint="eastAsia" w:ascii="仿宋_GB2312" w:hAnsi="仿宋_GB2312" w:eastAsia="仿宋_GB2312" w:cs="仿宋_GB2312"/>
          <w:spacing w:val="8"/>
          <w:sz w:val="32"/>
          <w:szCs w:val="32"/>
        </w:rPr>
        <w:t>+</w:t>
      </w:r>
      <w:r>
        <w:rPr>
          <w:rFonts w:hint="eastAsia" w:ascii="仿宋_GB2312" w:hAnsi="仿宋_GB2312" w:eastAsia="仿宋_GB2312" w:cs="仿宋_GB2312"/>
          <w:spacing w:val="20"/>
          <w:sz w:val="32"/>
          <w:szCs w:val="32"/>
        </w:rPr>
        <w:t>学费收入</w:t>
      </w:r>
      <w:r>
        <w:rPr>
          <w:rFonts w:hint="eastAsia" w:ascii="仿宋_GB2312" w:hAnsi="仿宋_GB2312" w:eastAsia="仿宋_GB2312" w:cs="仿宋_GB2312"/>
          <w:spacing w:val="4"/>
          <w:sz w:val="32"/>
          <w:szCs w:val="32"/>
          <w:lang w:eastAsia="zh-CN"/>
        </w:rPr>
        <w:t>）</w:t>
      </w:r>
      <w:r>
        <w:rPr>
          <w:rFonts w:hint="eastAsia" w:ascii="仿宋_GB2312" w:hAnsi="仿宋_GB2312" w:eastAsia="仿宋_GB2312" w:cs="仿宋_GB2312"/>
          <w:spacing w:val="20"/>
          <w:sz w:val="32"/>
          <w:szCs w:val="32"/>
        </w:rPr>
        <w:t>*100</w:t>
      </w:r>
      <w:r>
        <w:rPr>
          <w:rFonts w:hint="eastAsia" w:ascii="仿宋_GB2312" w:hAnsi="仿宋_GB2312" w:eastAsia="仿宋_GB2312" w:cs="仿宋_GB2312"/>
          <w:spacing w:val="20"/>
          <w:sz w:val="32"/>
          <w:szCs w:val="32"/>
          <w:lang w:val="en-US" w:eastAsia="zh-CN"/>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720" w:firstLineChars="200"/>
        <w:textAlignment w:val="baseline"/>
        <w:rPr>
          <w:rFonts w:hint="eastAsia" w:ascii="黑体" w:hAnsi="黑体" w:eastAsia="黑体" w:cs="黑体"/>
          <w:spacing w:val="20"/>
          <w:sz w:val="32"/>
          <w:szCs w:val="32"/>
          <w:lang w:val="en-US" w:eastAsia="zh-CN"/>
        </w:rPr>
      </w:pPr>
      <w:r>
        <w:rPr>
          <w:rFonts w:hint="eastAsia" w:ascii="黑体" w:hAnsi="黑体" w:eastAsia="黑体" w:cs="黑体"/>
          <w:spacing w:val="20"/>
          <w:sz w:val="32"/>
          <w:szCs w:val="32"/>
          <w:lang w:val="en-US" w:eastAsia="zh-CN"/>
        </w:rPr>
        <w:t>21.人社部门就业专项经费</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722" w:firstLineChars="200"/>
        <w:jc w:val="both"/>
        <w:textAlignment w:val="baseline"/>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b/>
          <w:bCs/>
          <w:spacing w:val="20"/>
          <w:sz w:val="32"/>
          <w:szCs w:val="32"/>
          <w:lang w:val="en-US" w:eastAsia="zh-CN"/>
        </w:rPr>
        <w:t>指标来源：</w:t>
      </w:r>
      <w:r>
        <w:rPr>
          <w:rFonts w:hint="eastAsia" w:ascii="仿宋_GB2312" w:hAnsi="仿宋_GB2312" w:eastAsia="仿宋_GB2312" w:cs="仿宋_GB2312"/>
          <w:spacing w:val="20"/>
          <w:sz w:val="32"/>
          <w:szCs w:val="32"/>
          <w:lang w:val="en-US" w:eastAsia="zh-CN"/>
        </w:rPr>
        <w:t>《关于就业专项资金使用管理及有关问题的通知》</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财</w:t>
      </w:r>
      <w:r>
        <w:rPr>
          <w:rFonts w:hint="eastAsia" w:ascii="仿宋_GB2312" w:hAnsi="仿宋_GB2312" w:eastAsia="仿宋_GB2312" w:cs="仿宋_GB2312"/>
          <w:spacing w:val="-2"/>
          <w:sz w:val="32"/>
          <w:szCs w:val="32"/>
          <w:lang w:eastAsia="zh-CN"/>
        </w:rPr>
        <w:t>社</w:t>
      </w:r>
      <w:r>
        <w:rPr>
          <w:rFonts w:hint="eastAsia" w:ascii="仿宋_GB2312" w:hAnsi="仿宋_GB2312" w:eastAsia="仿宋_GB2312" w:cs="仿宋_GB2312"/>
          <w:spacing w:val="-2"/>
          <w:sz w:val="32"/>
          <w:szCs w:val="32"/>
        </w:rPr>
        <w:t>〔20</w:t>
      </w:r>
      <w:r>
        <w:rPr>
          <w:rFonts w:hint="eastAsia" w:ascii="仿宋_GB2312" w:hAnsi="仿宋_GB2312" w:eastAsia="仿宋_GB2312" w:cs="仿宋_GB2312"/>
          <w:spacing w:val="-2"/>
          <w:sz w:val="32"/>
          <w:szCs w:val="32"/>
          <w:lang w:val="en-US" w:eastAsia="zh-CN"/>
        </w:rPr>
        <w:t>08</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269</w:t>
      </w:r>
      <w:r>
        <w:rPr>
          <w:rFonts w:hint="eastAsia" w:ascii="仿宋_GB2312" w:hAnsi="仿宋_GB2312" w:eastAsia="仿宋_GB2312" w:cs="仿宋_GB2312"/>
          <w:spacing w:val="-2"/>
          <w:sz w:val="32"/>
          <w:szCs w:val="32"/>
        </w:rPr>
        <w:t>号</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0"/>
          <w:sz w:val="32"/>
          <w:szCs w:val="32"/>
          <w:lang w:val="en-US" w:eastAsia="zh-CN"/>
        </w:rPr>
        <w:t>，《关于进一步加强就业专项资金管理有关问题的通知》</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财</w:t>
      </w:r>
      <w:r>
        <w:rPr>
          <w:rFonts w:hint="eastAsia" w:ascii="仿宋_GB2312" w:hAnsi="仿宋_GB2312" w:eastAsia="仿宋_GB2312" w:cs="仿宋_GB2312"/>
          <w:spacing w:val="-2"/>
          <w:sz w:val="32"/>
          <w:szCs w:val="32"/>
          <w:lang w:eastAsia="zh-CN"/>
        </w:rPr>
        <w:t>社</w:t>
      </w:r>
      <w:r>
        <w:rPr>
          <w:rFonts w:hint="eastAsia" w:ascii="仿宋_GB2312" w:hAnsi="仿宋_GB2312" w:eastAsia="仿宋_GB2312" w:cs="仿宋_GB2312"/>
          <w:spacing w:val="-2"/>
          <w:sz w:val="32"/>
          <w:szCs w:val="32"/>
        </w:rPr>
        <w:t>〔201</w:t>
      </w:r>
      <w:r>
        <w:rPr>
          <w:rFonts w:hint="eastAsia" w:ascii="仿宋_GB2312" w:hAnsi="仿宋_GB2312" w:eastAsia="仿宋_GB2312" w:cs="仿宋_GB2312"/>
          <w:spacing w:val="-2"/>
          <w:sz w:val="32"/>
          <w:szCs w:val="32"/>
          <w:lang w:val="en-US" w:eastAsia="zh-CN"/>
        </w:rPr>
        <w:t>1</w:t>
      </w:r>
      <w:r>
        <w:rPr>
          <w:rFonts w:hint="eastAsia" w:ascii="仿宋_GB2312" w:hAnsi="仿宋_GB2312" w:eastAsia="仿宋_GB2312" w:cs="仿宋_GB2312"/>
          <w:spacing w:val="-2"/>
          <w:sz w:val="32"/>
          <w:szCs w:val="32"/>
        </w:rPr>
        <w:t>〕</w:t>
      </w:r>
      <w:r>
        <w:rPr>
          <w:rFonts w:hint="eastAsia" w:ascii="仿宋_GB2312" w:hAnsi="仿宋_GB2312" w:eastAsia="仿宋_GB2312" w:cs="仿宋_GB2312"/>
          <w:spacing w:val="-2"/>
          <w:sz w:val="32"/>
          <w:szCs w:val="32"/>
          <w:lang w:val="en-US" w:eastAsia="zh-CN"/>
        </w:rPr>
        <w:t>64</w:t>
      </w:r>
      <w:r>
        <w:rPr>
          <w:rFonts w:hint="eastAsia" w:ascii="仿宋_GB2312" w:hAnsi="仿宋_GB2312" w:eastAsia="仿宋_GB2312" w:cs="仿宋_GB2312"/>
          <w:spacing w:val="-2"/>
          <w:sz w:val="32"/>
          <w:szCs w:val="32"/>
        </w:rPr>
        <w:t>号</w:t>
      </w:r>
      <w:r>
        <w:rPr>
          <w:rFonts w:hint="eastAsia" w:ascii="仿宋_GB2312" w:hAnsi="仿宋_GB2312" w:eastAsia="仿宋_GB2312" w:cs="仿宋_GB2312"/>
          <w:spacing w:val="-2"/>
          <w:sz w:val="32"/>
          <w:szCs w:val="32"/>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722" w:firstLineChars="200"/>
        <w:jc w:val="both"/>
        <w:textAlignment w:val="baseline"/>
        <w:rPr>
          <w:rFonts w:hint="eastAsia" w:ascii="仿宋_GB2312" w:hAnsi="仿宋_GB2312" w:eastAsia="仿宋_GB2312" w:cs="仿宋_GB2312"/>
          <w:b/>
          <w:bCs/>
          <w:spacing w:val="20"/>
          <w:sz w:val="32"/>
          <w:szCs w:val="32"/>
          <w:lang w:val="en-US" w:eastAsia="zh-CN"/>
        </w:rPr>
      </w:pPr>
      <w:r>
        <w:rPr>
          <w:rFonts w:hint="eastAsia" w:ascii="仿宋_GB2312" w:hAnsi="仿宋_GB2312" w:eastAsia="仿宋_GB2312" w:cs="仿宋_GB2312"/>
          <w:b/>
          <w:bCs/>
          <w:spacing w:val="20"/>
          <w:sz w:val="32"/>
          <w:szCs w:val="32"/>
          <w:lang w:val="en-US" w:eastAsia="zh-CN"/>
        </w:rPr>
        <w:t>统计口径及计算方法：</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720" w:firstLineChars="200"/>
        <w:jc w:val="both"/>
        <w:textAlignment w:val="baseline"/>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spacing w:val="20"/>
          <w:sz w:val="32"/>
          <w:szCs w:val="32"/>
          <w:lang w:val="en-US" w:eastAsia="zh-CN"/>
        </w:rPr>
        <w:t>（1）获得人社部门就业专项经费是指学校就业经费中从人社部门获得的经费，学校就业工作总经费是指学校就业工作经费支出总和。</w:t>
      </w:r>
    </w:p>
    <w:p>
      <w:pPr>
        <w:keepNext w:val="0"/>
        <w:keepLines w:val="0"/>
        <w:pageBreakBefore w:val="0"/>
        <w:widowControl w:val="0"/>
        <w:kinsoku/>
        <w:wordWrap/>
        <w:overflowPunct w:val="0"/>
        <w:topLinePunct w:val="0"/>
        <w:autoSpaceDE w:val="0"/>
        <w:autoSpaceDN w:val="0"/>
        <w:bidi w:val="0"/>
        <w:adjustRightInd w:val="0"/>
        <w:snapToGrid w:val="0"/>
        <w:spacing w:line="560" w:lineRule="exact"/>
        <w:ind w:left="0" w:leftChars="0" w:right="0" w:rightChars="0" w:firstLine="720" w:firstLineChars="200"/>
        <w:jc w:val="both"/>
        <w:textAlignment w:val="baseline"/>
        <w:rPr>
          <w:rFonts w:hint="eastAsia" w:ascii="仿宋_GB2312" w:hAnsi="仿宋_GB2312" w:eastAsia="仿宋_GB2312" w:cs="仿宋_GB2312"/>
          <w:spacing w:val="20"/>
          <w:sz w:val="32"/>
          <w:szCs w:val="32"/>
          <w:lang w:val="en-US" w:eastAsia="zh-CN"/>
        </w:rPr>
      </w:pPr>
      <w:r>
        <w:rPr>
          <w:rFonts w:hint="eastAsia" w:ascii="仿宋_GB2312" w:hAnsi="仿宋_GB2312" w:eastAsia="仿宋_GB2312" w:cs="仿宋_GB2312"/>
          <w:spacing w:val="20"/>
          <w:sz w:val="32"/>
          <w:szCs w:val="32"/>
          <w:lang w:val="en-US" w:eastAsia="zh-CN"/>
        </w:rPr>
        <w:t>（2）获得人社部门就业专项经费占比=学校获得人社部门就业专项经费/学校就业工作总经费</w:t>
      </w:r>
    </w:p>
    <w:p>
      <w:pPr>
        <w:rPr>
          <w:rFonts w:ascii="Arial"/>
          <w:sz w:val="21"/>
        </w:rPr>
      </w:pPr>
    </w:p>
    <w:sectPr>
      <w:footerReference r:id="rId8" w:type="default"/>
      <w:pgSz w:w="11906" w:h="16838"/>
      <w:pgMar w:top="2098" w:right="1474" w:bottom="1984" w:left="1587"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FangSong">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2" w:lineRule="auto"/>
      <w:ind w:left="6375"/>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UAAAACACHTuJAs0lY7tAAAAAFAQAADwAAAAAA&#10;AAABACAAAAA4AAAAZHJzL2Rvd25yZXYueG1sUEsBAhQAFAAAAAgAh07iQH+OrREyAgAAYQQAAA4A&#10;AAAAAAAAAQAgAAAANQEAAGRycy9lMm9Eb2MueG1sUEsBAhQACgAAAAAAh07iQAAAAAAAAAAAAAAA&#10;AAQAAAAAAAAAAAAQAAAAFgAAAGRycy9QSwECFAAKAAAAAACHTuJAAAAAAAAAAAAAAAAABgAAAAAA&#10;AAAAABAAAACTAwAAX3JlbHMv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6385"/>
      <w:rPr>
        <w:rFonts w:ascii="Times New Roman" w:hAnsi="Times New Roman" w:eastAsia="Times New Roman" w:cs="Times New Roman"/>
        <w:sz w:val="14"/>
        <w:szCs w:val="14"/>
      </w:rPr>
    </w:pPr>
    <w:r>
      <w:rPr>
        <w:sz w:val="1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MIkSXj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- 2 -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2" w:lineRule="auto"/>
      <w:ind w:left="6334"/>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2" w:lineRule="auto"/>
      <w:rPr>
        <w:rFonts w:ascii="Times New Roman" w:hAnsi="Times New Roman" w:eastAsia="Times New Roman" w:cs="Times New Roman"/>
        <w:sz w:val="13"/>
        <w:szCs w:val="13"/>
      </w:rPr>
    </w:pPr>
    <w:r>
      <w:rPr>
        <w:sz w:val="13"/>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BQAAAAIAIdO4kCzSVju0AAAAAUBAAAPAAAAAAAA&#10;AAEAIAAAADgAAABkcnMvZG93bnJldi54bWxQSwECFAAUAAAACACHTuJAx5e1zjECAABhBAAADgAA&#10;AAAAAAABACAAAAA1AQAAZHJzL2Uyb0RvYy54bWxQSwECFAAKAAAAAACHTuJAAAAAAAAAAAAAAAAA&#10;BAAAAAAAAAAAABAAAAAWAAAAZHJzL1BLAQIUAAoAAAAAAIdO4kAAAAAAAAAAAAAAAAAGAAAAAAAA&#10;AAAAEAAAAJIDAABfcmVscy9QSwUGAAAAAAYABgBZAQAA2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477064A"/>
    <w:rsid w:val="4EDED352"/>
    <w:rsid w:val="5FBA25B8"/>
    <w:rsid w:val="77CDAB2A"/>
    <w:rsid w:val="8F766970"/>
    <w:rsid w:val="BBFF7189"/>
    <w:rsid w:val="BFFD2593"/>
    <w:rsid w:val="D7672173"/>
    <w:rsid w:val="D9FD1D31"/>
    <w:rsid w:val="F3F7F42A"/>
    <w:rsid w:val="F5E623FA"/>
    <w:rsid w:val="FEFFDEB7"/>
    <w:rsid w:val="FFFF52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 w:hAnsi="FangSong" w:eastAsia="FangSong" w:cs="FangSong"/>
      <w:sz w:val="31"/>
      <w:szCs w:val="3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65</TotalTime>
  <ScaleCrop>false</ScaleCrop>
  <LinksUpToDate>false</LinksUpToDate>
  <Application>WPS Office_11.8.2.11625_F1E327BC-269C-435d-A152-05C5408002CA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2025-03-14T13:48:00Z</dcterms:created>
  <dc:creator>Kingsoft-PDF</dc:creator>
  <cp:lastModifiedBy>greatwall</cp:lastModifiedBy>
  <cp:lastPrinted>2025-05-09T17:35:00Z</cp:lastPrinted>
  <dcterms:modified xsi:type="dcterms:W3CDTF">2025-05-09T16:09:09Z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2025-03-12T13:48:14Z</vt:filetime>
  </property>
  <property fmtid="{D5CDD505-2E9C-101B-9397-08002B2CF9AE}" pid="4" name="UsrData">
    <vt:lpwstr>67d120191ddca0001fe0b3a5wl</vt:lpwstr>
  </property>
  <property fmtid="{D5CDD505-2E9C-101B-9397-08002B2CF9AE}" pid="5" name="KSOProductBuildVer">
    <vt:lpwstr>2052-11.8.2.11625</vt:lpwstr>
  </property>
</Properties>
</file>